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before="156" w:beforeLines="50" w:line="600" w:lineRule="exact"/>
        <w:textAlignment w:val="auto"/>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before="156" w:beforeLines="50" w:line="560" w:lineRule="exact"/>
        <w:jc w:val="center"/>
        <w:textAlignment w:val="auto"/>
        <w:rPr>
          <w:rFonts w:hint="eastAsia" w:ascii="黑体" w:hAnsi="黑体" w:eastAsia="黑体" w:cs="黑体"/>
          <w:b/>
          <w:bCs/>
          <w:sz w:val="48"/>
          <w:szCs w:val="48"/>
          <w:lang w:val="en-US" w:eastAsia="zh-CN"/>
        </w:rPr>
      </w:pPr>
      <w:r>
        <w:rPr>
          <w:rFonts w:hint="eastAsia" w:ascii="黑体" w:hAnsi="黑体" w:eastAsia="黑体" w:cs="黑体"/>
          <w:b/>
          <w:bCs/>
          <w:sz w:val="48"/>
          <w:szCs w:val="48"/>
          <w:lang w:val="en-US" w:eastAsia="zh-CN"/>
        </w:rPr>
        <w:t>贵州大学博士研究生国家奖学金</w:t>
      </w:r>
    </w:p>
    <w:p>
      <w:pPr>
        <w:keepNext w:val="0"/>
        <w:keepLines w:val="0"/>
        <w:pageBreakBefore w:val="0"/>
        <w:widowControl w:val="0"/>
        <w:kinsoku/>
        <w:wordWrap/>
        <w:overflowPunct/>
        <w:topLinePunct w:val="0"/>
        <w:autoSpaceDE/>
        <w:autoSpaceDN/>
        <w:bidi w:val="0"/>
        <w:adjustRightInd/>
        <w:snapToGrid/>
        <w:spacing w:before="156" w:beforeLines="50" w:line="560" w:lineRule="exact"/>
        <w:jc w:val="center"/>
        <w:textAlignment w:val="auto"/>
        <w:rPr>
          <w:rFonts w:hint="default" w:ascii="黑体" w:hAnsi="黑体" w:eastAsia="黑体" w:cs="黑体"/>
          <w:b/>
          <w:bCs/>
          <w:sz w:val="48"/>
          <w:szCs w:val="48"/>
          <w:lang w:val="en-US" w:eastAsia="zh-CN"/>
        </w:rPr>
      </w:pPr>
      <w:r>
        <w:rPr>
          <w:rFonts w:hint="eastAsia" w:ascii="黑体" w:hAnsi="黑体" w:eastAsia="黑体" w:cs="黑体"/>
          <w:b/>
          <w:bCs/>
          <w:sz w:val="48"/>
          <w:szCs w:val="48"/>
          <w:lang w:val="en-US" w:eastAsia="zh-CN"/>
        </w:rPr>
        <w:t>综合测评实施细则（试行）</w:t>
      </w:r>
      <w:bookmarkStart w:id="12" w:name="_GoBack"/>
      <w:bookmarkEnd w:id="12"/>
    </w:p>
    <w:p>
      <w:pPr>
        <w:pStyle w:val="3"/>
        <w:spacing w:line="560" w:lineRule="exact"/>
        <w:jc w:val="both"/>
        <w:rPr>
          <w:rFonts w:hint="eastAsia"/>
          <w:sz w:val="40"/>
          <w:szCs w:val="40"/>
        </w:rPr>
      </w:pPr>
      <w:bookmarkStart w:id="0" w:name="_Toc25530_WPSOffice_Level2"/>
      <w:bookmarkStart w:id="1" w:name="_Toc18741_WPSOffice_Level2"/>
      <w:bookmarkStart w:id="2" w:name="_Toc877_WPSOffice_Level2"/>
    </w:p>
    <w:p>
      <w:pPr>
        <w:pStyle w:val="3"/>
        <w:pageBreakBefore w:val="0"/>
        <w:widowControl w:val="0"/>
        <w:numPr>
          <w:ilvl w:val="0"/>
          <w:numId w:val="0"/>
        </w:numPr>
        <w:kinsoku/>
        <w:wordWrap/>
        <w:overflowPunct/>
        <w:topLinePunct w:val="0"/>
        <w:autoSpaceDE/>
        <w:autoSpaceDN/>
        <w:bidi w:val="0"/>
        <w:adjustRightInd/>
        <w:snapToGrid/>
        <w:spacing w:line="600" w:lineRule="exact"/>
        <w:ind w:firstLine="2891" w:firstLineChars="900"/>
        <w:jc w:val="both"/>
        <w:textAlignment w:val="auto"/>
        <w:rPr>
          <w:rFonts w:hint="eastAsia" w:ascii="黑体" w:hAnsi="黑体" w:eastAsia="黑体" w:cs="仿宋"/>
          <w:b/>
          <w:bCs/>
          <w:kern w:val="2"/>
          <w:sz w:val="32"/>
          <w:szCs w:val="32"/>
          <w:lang w:val="en-US" w:eastAsia="zh-CN" w:bidi="ar-SA"/>
        </w:rPr>
      </w:pPr>
      <w:r>
        <w:rPr>
          <w:rFonts w:hint="eastAsia" w:ascii="黑体" w:hAnsi="黑体" w:eastAsia="黑体" w:cs="仿宋"/>
          <w:b/>
          <w:bCs/>
          <w:kern w:val="2"/>
          <w:sz w:val="32"/>
          <w:szCs w:val="32"/>
          <w:lang w:val="en-US" w:eastAsia="zh-CN" w:bidi="ar-SA"/>
        </w:rPr>
        <w:t>第一章 总 则</w:t>
      </w:r>
      <w:bookmarkEnd w:id="0"/>
      <w:bookmarkEnd w:id="1"/>
      <w:bookmarkEnd w:id="2"/>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 xml:space="preserve">第一条 </w:t>
      </w:r>
      <w:r>
        <w:rPr>
          <w:rFonts w:hint="eastAsia" w:ascii="仿宋_GB2312" w:hAnsi="仿宋" w:eastAsia="仿宋_GB2312" w:cs="仿宋"/>
          <w:sz w:val="32"/>
          <w:szCs w:val="32"/>
          <w:lang w:val="en-US" w:eastAsia="zh-CN"/>
        </w:rPr>
        <w:t>博士</w:t>
      </w:r>
      <w:r>
        <w:rPr>
          <w:rFonts w:hint="eastAsia" w:ascii="仿宋_GB2312" w:hAnsi="仿宋" w:eastAsia="仿宋_GB2312" w:cs="仿宋"/>
          <w:sz w:val="32"/>
          <w:szCs w:val="32"/>
        </w:rPr>
        <w:t>研究生综合测评是</w:t>
      </w:r>
      <w:r>
        <w:rPr>
          <w:rFonts w:hint="eastAsia" w:ascii="仿宋_GB2312" w:hAnsi="仿宋" w:eastAsia="仿宋_GB2312" w:cs="仿宋"/>
          <w:sz w:val="32"/>
          <w:szCs w:val="32"/>
          <w:lang w:val="en-US" w:eastAsia="zh-CN"/>
        </w:rPr>
        <w:t>博士国家</w:t>
      </w:r>
      <w:r>
        <w:rPr>
          <w:rFonts w:hint="eastAsia" w:ascii="仿宋_GB2312" w:hAnsi="仿宋" w:eastAsia="仿宋_GB2312" w:cs="仿宋"/>
          <w:sz w:val="32"/>
          <w:szCs w:val="32"/>
        </w:rPr>
        <w:t>奖学金评审的重要依据。根据我校实际特制定《贵州大学</w:t>
      </w:r>
      <w:r>
        <w:rPr>
          <w:rFonts w:hint="eastAsia" w:ascii="仿宋_GB2312" w:hAnsi="仿宋" w:eastAsia="仿宋_GB2312" w:cs="仿宋"/>
          <w:sz w:val="32"/>
          <w:szCs w:val="32"/>
          <w:lang w:val="en-US" w:eastAsia="zh-CN"/>
        </w:rPr>
        <w:t>博士</w:t>
      </w:r>
      <w:r>
        <w:rPr>
          <w:rFonts w:hint="eastAsia" w:ascii="仿宋_GB2312" w:hAnsi="仿宋" w:eastAsia="仿宋_GB2312" w:cs="仿宋"/>
          <w:sz w:val="32"/>
          <w:szCs w:val="32"/>
        </w:rPr>
        <w:t>研究生</w:t>
      </w:r>
      <w:r>
        <w:rPr>
          <w:rFonts w:hint="eastAsia" w:ascii="仿宋_GB2312" w:hAnsi="仿宋" w:eastAsia="仿宋_GB2312" w:cs="仿宋"/>
          <w:sz w:val="32"/>
          <w:szCs w:val="32"/>
          <w:lang w:val="en-US" w:eastAsia="zh-CN"/>
        </w:rPr>
        <w:t>国家奖学金</w:t>
      </w:r>
      <w:r>
        <w:rPr>
          <w:rFonts w:hint="eastAsia" w:ascii="仿宋_GB2312" w:hAnsi="仿宋" w:eastAsia="仿宋_GB2312" w:cs="仿宋"/>
          <w:sz w:val="32"/>
          <w:szCs w:val="32"/>
        </w:rPr>
        <w:t>综合测评实施细则》(以下简称《细则》)。</w:t>
      </w:r>
    </w:p>
    <w:p>
      <w:pPr>
        <w:pageBreakBefore w:val="0"/>
        <w:widowControl w:val="0"/>
        <w:kinsoku/>
        <w:wordWrap/>
        <w:overflowPunct/>
        <w:topLinePunct w:val="0"/>
        <w:autoSpaceDE/>
        <w:autoSpaceDN/>
        <w:bidi w:val="0"/>
        <w:adjustRightInd/>
        <w:snapToGrid/>
        <w:spacing w:before="156" w:beforeLines="50" w:line="60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 xml:space="preserve">第二条 </w:t>
      </w:r>
      <w:bookmarkStart w:id="3" w:name="_Toc4510_WPSOffice_Level1"/>
      <w:r>
        <w:rPr>
          <w:rFonts w:hint="eastAsia" w:ascii="仿宋_GB2312" w:hAnsi="仿宋" w:eastAsia="仿宋_GB2312" w:cs="仿宋"/>
          <w:sz w:val="32"/>
          <w:szCs w:val="32"/>
          <w:lang w:val="en-US" w:eastAsia="zh-CN"/>
        </w:rPr>
        <w:t>《细则》适用于2021级及后</w:t>
      </w:r>
      <w:r>
        <w:rPr>
          <w:rFonts w:hint="eastAsia" w:ascii="仿宋_GB2312" w:hAnsi="仿宋" w:eastAsia="仿宋_GB2312" w:cs="仿宋"/>
          <w:sz w:val="32"/>
          <w:szCs w:val="32"/>
        </w:rPr>
        <w:t>纳入全国研究生招生计划的全日制脱产学习的</w:t>
      </w:r>
      <w:r>
        <w:rPr>
          <w:rFonts w:hint="eastAsia" w:ascii="仿宋_GB2312" w:hAnsi="仿宋" w:eastAsia="仿宋_GB2312" w:cs="仿宋"/>
          <w:sz w:val="32"/>
          <w:szCs w:val="32"/>
          <w:lang w:val="en-US" w:eastAsia="zh-CN"/>
        </w:rPr>
        <w:t>博士</w:t>
      </w:r>
      <w:r>
        <w:rPr>
          <w:rFonts w:hint="eastAsia" w:ascii="仿宋_GB2312" w:hAnsi="仿宋" w:eastAsia="仿宋_GB2312" w:cs="仿宋"/>
          <w:sz w:val="32"/>
          <w:szCs w:val="32"/>
        </w:rPr>
        <w:t xml:space="preserve">研究生(不包括定向研究生)。全日制脱产学习研究生身份的确定以档案按时转入我校为准。 </w:t>
      </w:r>
    </w:p>
    <w:p>
      <w:pPr>
        <w:spacing w:line="560" w:lineRule="exact"/>
        <w:jc w:val="center"/>
        <w:rPr>
          <w:rFonts w:hint="eastAsia" w:ascii="黑体" w:hAnsi="黑体" w:eastAsia="黑体" w:cs="仿宋"/>
          <w:b/>
          <w:bCs/>
          <w:sz w:val="32"/>
          <w:szCs w:val="32"/>
        </w:rPr>
      </w:pPr>
      <w:bookmarkStart w:id="4" w:name="_Toc1919_WPSOffice_Level2"/>
      <w:bookmarkStart w:id="5" w:name="_Toc2257_WPSOffice_Level2"/>
      <w:bookmarkStart w:id="6" w:name="_Toc22194_WPSOffice_Level2"/>
      <w:r>
        <w:rPr>
          <w:rFonts w:hint="eastAsia" w:ascii="黑体" w:hAnsi="黑体" w:eastAsia="黑体" w:cs="仿宋"/>
          <w:b/>
          <w:bCs/>
          <w:sz w:val="32"/>
          <w:szCs w:val="32"/>
        </w:rPr>
        <w:t xml:space="preserve">第二章 </w:t>
      </w:r>
      <w:r>
        <w:rPr>
          <w:rFonts w:hint="eastAsia" w:ascii="黑体" w:hAnsi="黑体" w:eastAsia="黑体" w:cs="仿宋"/>
          <w:b/>
          <w:bCs/>
          <w:sz w:val="32"/>
          <w:szCs w:val="32"/>
          <w:lang w:val="en-US" w:eastAsia="zh-CN"/>
        </w:rPr>
        <w:t>总</w:t>
      </w:r>
      <w:r>
        <w:rPr>
          <w:rFonts w:hint="eastAsia" w:ascii="黑体" w:hAnsi="黑体" w:eastAsia="黑体" w:cs="仿宋"/>
          <w:b/>
          <w:bCs/>
          <w:sz w:val="32"/>
          <w:szCs w:val="32"/>
        </w:rPr>
        <w:t>成绩测评分数</w:t>
      </w:r>
      <w:bookmarkEnd w:id="3"/>
      <w:bookmarkEnd w:id="4"/>
      <w:bookmarkEnd w:id="5"/>
      <w:bookmarkEnd w:id="6"/>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 xml:space="preserve">第三条 </w:t>
      </w:r>
      <w:r>
        <w:rPr>
          <w:rFonts w:hint="eastAsia" w:ascii="仿宋_GB2312" w:hAnsi="仿宋" w:eastAsia="仿宋_GB2312" w:cs="仿宋"/>
          <w:sz w:val="32"/>
          <w:szCs w:val="32"/>
          <w:lang w:val="en-US" w:eastAsia="zh-CN"/>
        </w:rPr>
        <w:t>总</w:t>
      </w:r>
      <w:r>
        <w:rPr>
          <w:rFonts w:hint="eastAsia" w:ascii="仿宋_GB2312" w:hAnsi="仿宋" w:eastAsia="仿宋_GB2312" w:cs="仿宋"/>
          <w:sz w:val="32"/>
          <w:szCs w:val="32"/>
        </w:rPr>
        <w:t>成绩由</w:t>
      </w:r>
      <w:r>
        <w:rPr>
          <w:rFonts w:hint="eastAsia" w:ascii="仿宋_GB2312" w:hAnsi="仿宋" w:eastAsia="仿宋_GB2312" w:cs="仿宋"/>
          <w:sz w:val="32"/>
          <w:szCs w:val="32"/>
          <w:lang w:val="en-US" w:eastAsia="zh-CN"/>
        </w:rPr>
        <w:t>德育分、智育分、体育分、美育分、劳动教育分组成</w:t>
      </w:r>
      <w:r>
        <w:rPr>
          <w:rFonts w:hint="eastAsia" w:ascii="仿宋_GB2312" w:hAnsi="仿宋" w:eastAsia="仿宋_GB2312" w:cs="仿宋"/>
          <w:sz w:val="32"/>
          <w:szCs w:val="32"/>
        </w:rPr>
        <w:t>，权重及计算方法如下：</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总成绩=0.15*德育分+0.75*智育分+0.05*（体育分+美育分）/2+0.05*劳动教育分</w:t>
      </w:r>
    </w:p>
    <w:p>
      <w:pPr>
        <w:pageBreakBefore w:val="0"/>
        <w:widowControl w:val="0"/>
        <w:kinsoku/>
        <w:wordWrap/>
        <w:overflowPunct/>
        <w:topLinePunct w:val="0"/>
        <w:autoSpaceDE/>
        <w:autoSpaceDN/>
        <w:bidi w:val="0"/>
        <w:adjustRightInd/>
        <w:snapToGrid/>
        <w:spacing w:before="156" w:beforeLines="50" w:line="560" w:lineRule="exact"/>
        <w:ind w:firstLine="640" w:firstLineChars="200"/>
        <w:textAlignment w:val="auto"/>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 xml:space="preserve">第四条 </w:t>
      </w:r>
      <w:r>
        <w:rPr>
          <w:rFonts w:hint="eastAsia" w:ascii="仿宋_GB2312" w:hAnsi="仿宋" w:eastAsia="仿宋_GB2312" w:cs="仿宋"/>
          <w:sz w:val="32"/>
          <w:szCs w:val="32"/>
        </w:rPr>
        <w:t>所有评定项目及</w:t>
      </w:r>
      <w:r>
        <w:rPr>
          <w:rFonts w:hint="eastAsia" w:ascii="仿宋_GB2312" w:hAnsi="仿宋" w:eastAsia="仿宋_GB2312" w:cs="仿宋"/>
          <w:sz w:val="32"/>
          <w:szCs w:val="32"/>
          <w:lang w:val="en-US" w:eastAsia="zh-CN"/>
        </w:rPr>
        <w:t>总</w:t>
      </w:r>
      <w:r>
        <w:rPr>
          <w:rFonts w:hint="eastAsia" w:ascii="仿宋_GB2312" w:hAnsi="仿宋" w:eastAsia="仿宋_GB2312" w:cs="仿宋"/>
          <w:sz w:val="32"/>
          <w:szCs w:val="32"/>
        </w:rPr>
        <w:t>成绩均以百分制计分，其中德育、体育、美育、劳动教育满分100分，基础分70分。德育分低于6</w:t>
      </w:r>
      <w:r>
        <w:rPr>
          <w:rFonts w:ascii="仿宋_GB2312" w:hAnsi="仿宋" w:eastAsia="仿宋_GB2312" w:cs="仿宋"/>
          <w:sz w:val="32"/>
          <w:szCs w:val="32"/>
        </w:rPr>
        <w:t>0</w:t>
      </w:r>
      <w:r>
        <w:rPr>
          <w:rFonts w:hint="eastAsia" w:ascii="仿宋_GB2312" w:hAnsi="仿宋" w:eastAsia="仿宋_GB2312" w:cs="仿宋"/>
          <w:sz w:val="32"/>
          <w:szCs w:val="32"/>
        </w:rPr>
        <w:t>分者，不予参评。</w:t>
      </w:r>
    </w:p>
    <w:p>
      <w:pPr>
        <w:numPr>
          <w:ilvl w:val="0"/>
          <w:numId w:val="0"/>
        </w:numPr>
        <w:spacing w:line="560" w:lineRule="exact"/>
        <w:ind w:firstLine="2570" w:firstLineChars="800"/>
        <w:jc w:val="both"/>
        <w:rPr>
          <w:rFonts w:hint="eastAsia" w:ascii="黑体" w:hAnsi="黑体" w:eastAsia="黑体" w:cs="仿宋"/>
          <w:b/>
          <w:bCs/>
          <w:sz w:val="32"/>
          <w:szCs w:val="32"/>
        </w:rPr>
      </w:pPr>
      <w:bookmarkStart w:id="7" w:name="_Toc4734_WPSOffice_Level2"/>
      <w:bookmarkStart w:id="8" w:name="_Toc4357_WPSOffice_Level2"/>
      <w:bookmarkStart w:id="9" w:name="_Toc17324_WPSOffice_Level1"/>
      <w:bookmarkStart w:id="10" w:name="_Toc8898_WPSOffice_Level2"/>
      <w:r>
        <w:rPr>
          <w:rFonts w:hint="eastAsia" w:ascii="黑体" w:hAnsi="黑体" w:eastAsia="黑体" w:cs="仿宋"/>
          <w:b/>
          <w:bCs/>
          <w:sz w:val="32"/>
          <w:szCs w:val="32"/>
          <w:lang w:val="en-US" w:eastAsia="zh-CN"/>
        </w:rPr>
        <w:t>第三章 德育</w:t>
      </w:r>
      <w:r>
        <w:rPr>
          <w:rFonts w:hint="eastAsia" w:ascii="黑体" w:hAnsi="黑体" w:eastAsia="黑体" w:cs="仿宋"/>
          <w:b/>
          <w:bCs/>
          <w:sz w:val="32"/>
          <w:szCs w:val="32"/>
        </w:rPr>
        <w:t>测评分数</w:t>
      </w:r>
      <w:bookmarkEnd w:id="7"/>
      <w:bookmarkEnd w:id="8"/>
      <w:bookmarkEnd w:id="9"/>
      <w:bookmarkEnd w:id="10"/>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jc w:val="both"/>
        <w:textAlignment w:val="auto"/>
        <w:rPr>
          <w:rFonts w:ascii="仿宋_GB2312" w:hAnsi="仿宋" w:eastAsia="仿宋_GB2312" w:cs="仿宋"/>
          <w:sz w:val="32"/>
          <w:szCs w:val="32"/>
        </w:rPr>
      </w:pPr>
      <w:r>
        <w:rPr>
          <w:rFonts w:hint="eastAsia" w:ascii="仿宋_GB2312" w:hAnsi="仿宋" w:eastAsia="仿宋_GB2312" w:cs="仿宋"/>
          <w:sz w:val="32"/>
          <w:szCs w:val="32"/>
          <w:lang w:val="en-US" w:eastAsia="zh-CN"/>
        </w:rPr>
        <w:t>第五条 德育分包括三个部分，</w:t>
      </w:r>
      <w:r>
        <w:rPr>
          <w:rFonts w:hint="eastAsia" w:ascii="仿宋_GB2312" w:hAnsi="仿宋" w:eastAsia="仿宋_GB2312" w:cs="仿宋"/>
          <w:sz w:val="32"/>
          <w:szCs w:val="32"/>
        </w:rPr>
        <w:t>即</w:t>
      </w:r>
      <w:r>
        <w:rPr>
          <w:rFonts w:hint="eastAsia" w:ascii="仿宋_GB2312" w:hAnsi="仿宋" w:eastAsia="仿宋_GB2312" w:cs="仿宋"/>
          <w:sz w:val="32"/>
          <w:szCs w:val="32"/>
          <w:lang w:val="en-US" w:eastAsia="zh-CN"/>
        </w:rPr>
        <w:t>德育</w:t>
      </w:r>
      <w:r>
        <w:rPr>
          <w:rFonts w:hint="eastAsia" w:ascii="仿宋_GB2312" w:hAnsi="仿宋" w:eastAsia="仿宋_GB2312" w:cs="仿宋"/>
          <w:sz w:val="32"/>
          <w:szCs w:val="32"/>
        </w:rPr>
        <w:t>分</w:t>
      </w:r>
      <w:r>
        <w:rPr>
          <w:rFonts w:hint="eastAsia" w:ascii="仿宋_GB2312" w:hAnsi="仿宋" w:eastAsia="仿宋_GB2312" w:cs="仿宋"/>
          <w:sz w:val="32"/>
          <w:szCs w:val="32"/>
          <w:lang w:val="en-US" w:eastAsia="zh-CN"/>
        </w:rPr>
        <w:t>=基础分70分+加分项-减分项。其中，加分项满分为30分，在实际评定过程中，若累计分数不超过30分，按实际分数计算；若累计分数超过30分，按如下公示转化成绩：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仿宋_GB2312" w:hAnsi="仿宋" w:eastAsia="仿宋_GB2312" w:cs="仿宋"/>
          <w:sz w:val="32"/>
          <w:szCs w:val="32"/>
        </w:rPr>
      </w:pPr>
      <m:oMathPara>
        <m:oMath>
          <m:r>
            <m:rPr>
              <m:sty m:val="p"/>
            </m:rPr>
            <w:rPr>
              <w:rFonts w:hint="eastAsia" w:ascii="Cambria Math" w:hAnsi="Cambria Math" w:eastAsia="仿宋" w:cs="仿宋"/>
              <w:sz w:val="28"/>
              <w:szCs w:val="28"/>
              <w:lang w:val="en-US" w:eastAsia="zh-CN"/>
            </w:rPr>
            <m:t>加分项</m:t>
          </m:r>
          <m:r>
            <m:rPr>
              <m:sty m:val="p"/>
            </m:rPr>
            <w:rPr>
              <w:rFonts w:hint="eastAsia" w:ascii="Cambria Math" w:hAnsi="Cambria Math" w:eastAsia="仿宋" w:cs="仿宋"/>
              <w:sz w:val="28"/>
              <w:szCs w:val="28"/>
              <w:lang w:val="en-US"/>
            </w:rPr>
            <m:t>=</m:t>
          </m:r>
          <m:f>
            <m:fPr>
              <m:ctrlPr>
                <w:rPr>
                  <w:rFonts w:hint="eastAsia" w:ascii="Cambria Math" w:hAnsi="Cambria Math" w:eastAsia="仿宋" w:cs="仿宋"/>
                  <w:i w:val="0"/>
                  <w:iCs w:val="0"/>
                  <w:sz w:val="28"/>
                  <w:szCs w:val="28"/>
                  <w:lang w:val="en-US"/>
                </w:rPr>
              </m:ctrlPr>
            </m:fPr>
            <m:num>
              <m:r>
                <m:rPr>
                  <m:sty m:val="p"/>
                </m:rPr>
                <w:rPr>
                  <w:rFonts w:hint="eastAsia" w:ascii="Cambria Math" w:hAnsi="Cambria Math" w:eastAsia="仿宋" w:cs="仿宋"/>
                  <w:sz w:val="28"/>
                  <w:szCs w:val="28"/>
                  <w:lang w:val="en-US" w:eastAsia="zh-CN"/>
                </w:rPr>
                <m:t>参评成绩</m:t>
              </m:r>
              <m:ctrlPr>
                <w:rPr>
                  <w:rFonts w:hint="eastAsia" w:ascii="Cambria Math" w:hAnsi="Cambria Math" w:eastAsia="仿宋" w:cs="仿宋"/>
                  <w:i w:val="0"/>
                  <w:iCs w:val="0"/>
                  <w:sz w:val="28"/>
                  <w:szCs w:val="28"/>
                  <w:lang w:val="en-US"/>
                </w:rPr>
              </m:ctrlPr>
            </m:num>
            <m:den>
              <m:r>
                <m:rPr>
                  <m:sty m:val="p"/>
                </m:rPr>
                <w:rPr>
                  <w:rFonts w:hint="eastAsia" w:ascii="Cambria Math" w:hAnsi="Cambria Math" w:eastAsia="仿宋" w:cs="仿宋"/>
                  <w:sz w:val="28"/>
                  <w:szCs w:val="28"/>
                  <w:lang w:val="en-US" w:eastAsia="zh-CN"/>
                </w:rPr>
                <m:t>参评成绩最大值</m:t>
              </m:r>
              <m:ctrlPr>
                <w:rPr>
                  <w:rFonts w:hint="eastAsia" w:ascii="Cambria Math" w:hAnsi="Cambria Math" w:eastAsia="仿宋" w:cs="仿宋"/>
                  <w:i w:val="0"/>
                  <w:iCs w:val="0"/>
                  <w:sz w:val="28"/>
                  <w:szCs w:val="28"/>
                  <w:lang w:val="en-US"/>
                </w:rPr>
              </m:ctrlPr>
            </m:den>
          </m:f>
          <m:r>
            <m:rPr>
              <m:sty m:val="p"/>
            </m:rPr>
            <w:rPr>
              <w:rFonts w:hint="eastAsia" w:ascii="Cambria Math" w:hAnsi="Cambria Math" w:eastAsia="仿宋" w:cs="仿宋"/>
              <w:sz w:val="28"/>
              <w:szCs w:val="28"/>
              <w:lang w:val="en-US" w:eastAsia="zh-CN"/>
            </w:rPr>
            <m:t>∗30分</m:t>
          </m:r>
        </m:oMath>
      </m:oMathPara>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第六条 德育分加分项主要有三部分组成：</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1.评奖年度获得“优秀党员”“优秀共青团员”</w:t>
      </w:r>
      <w:r>
        <w:rPr>
          <w:rFonts w:hint="eastAsia" w:ascii="仿宋_GB2312" w:hAnsi="仿宋" w:eastAsia="仿宋_GB2312" w:cs="仿宋"/>
          <w:sz w:val="32"/>
          <w:szCs w:val="32"/>
          <w:lang w:eastAsia="zh-CN"/>
        </w:rPr>
        <w:t>“最美大学生”“全国百名研究生党员标兵”“</w:t>
      </w:r>
      <w:r>
        <w:rPr>
          <w:rFonts w:hint="eastAsia" w:ascii="仿宋_GB2312" w:hAnsi="仿宋" w:eastAsia="仿宋_GB2312" w:cs="仿宋"/>
          <w:sz w:val="32"/>
          <w:szCs w:val="32"/>
          <w:lang w:val="en-US" w:eastAsia="zh-CN"/>
        </w:rPr>
        <w:t>百个研究生样板党支部书记”</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三</w:t>
      </w:r>
      <w:r>
        <w:rPr>
          <w:rFonts w:hint="eastAsia" w:ascii="仿宋_GB2312" w:hAnsi="仿宋" w:eastAsia="仿宋_GB2312" w:cs="仿宋"/>
          <w:sz w:val="32"/>
          <w:szCs w:val="32"/>
          <w:lang w:eastAsia="zh-CN"/>
        </w:rPr>
        <w:t>好学生”“优秀研究生干部”等荣誉称号，</w:t>
      </w:r>
      <w:r>
        <w:rPr>
          <w:rFonts w:hint="eastAsia" w:ascii="仿宋_GB2312" w:hAnsi="仿宋" w:eastAsia="仿宋_GB2312" w:cs="仿宋"/>
          <w:sz w:val="32"/>
          <w:szCs w:val="32"/>
          <w:lang w:val="en-US" w:eastAsia="zh-CN"/>
        </w:rPr>
        <w:t>计</w:t>
      </w:r>
      <w:r>
        <w:rPr>
          <w:rFonts w:hint="eastAsia" w:ascii="仿宋_GB2312" w:hAnsi="仿宋" w:eastAsia="仿宋_GB2312" w:cs="仿宋"/>
          <w:sz w:val="32"/>
          <w:szCs w:val="32"/>
          <w:lang w:eastAsia="zh-CN"/>
        </w:rPr>
        <w:t>分标准如下：</w:t>
      </w:r>
    </w:p>
    <w:tbl>
      <w:tblPr>
        <w:tblStyle w:val="8"/>
        <w:tblpPr w:leftFromText="180" w:rightFromText="180" w:vertAnchor="text" w:horzAnchor="page" w:tblpX="2055" w:tblpY="1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4"/>
        <w:gridCol w:w="215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等级</w:t>
            </w:r>
          </w:p>
        </w:tc>
        <w:tc>
          <w:tcPr>
            <w:tcW w:w="215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国家级</w:t>
            </w:r>
          </w:p>
        </w:tc>
        <w:tc>
          <w:tcPr>
            <w:tcW w:w="170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省部级</w:t>
            </w:r>
          </w:p>
        </w:tc>
        <w:tc>
          <w:tcPr>
            <w:tcW w:w="1705"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市校级</w:t>
            </w:r>
          </w:p>
        </w:tc>
        <w:tc>
          <w:tcPr>
            <w:tcW w:w="1705"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院级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分值</w:t>
            </w:r>
          </w:p>
        </w:tc>
        <w:tc>
          <w:tcPr>
            <w:tcW w:w="215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30</w:t>
            </w:r>
          </w:p>
        </w:tc>
        <w:tc>
          <w:tcPr>
            <w:tcW w:w="170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20</w:t>
            </w:r>
          </w:p>
        </w:tc>
        <w:tc>
          <w:tcPr>
            <w:tcW w:w="1705"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10</w:t>
            </w:r>
          </w:p>
        </w:tc>
        <w:tc>
          <w:tcPr>
            <w:tcW w:w="1705"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5</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560" w:firstLineChars="200"/>
        <w:textAlignment w:val="auto"/>
        <w:rPr>
          <w:rFonts w:hint="default"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备注：获院级各项荣誉的仅计算一次。</w:t>
      </w:r>
    </w:p>
    <w:p>
      <w:pPr>
        <w:numPr>
          <w:ilvl w:val="0"/>
          <w:numId w:val="0"/>
        </w:numPr>
        <w:spacing w:before="156" w:beforeLines="50" w:line="560" w:lineRule="exact"/>
        <w:ind w:firstLine="640" w:firstLineChars="200"/>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2.在疫情防控、见义勇为、拾金不昧、帮助弱残、抢险救灾、抢救伤残等方面有突出事迹，受到表彰或通报表扬或媒体宣传的，且突出事迹的支撑材料为报道材料、奖励证书等。</w:t>
      </w:r>
      <w:bookmarkStart w:id="11" w:name="OLE_LINK1"/>
      <w:r>
        <w:rPr>
          <w:rFonts w:hint="eastAsia" w:ascii="仿宋_GB2312" w:hAnsi="仿宋" w:eastAsia="仿宋_GB2312" w:cs="仿宋"/>
          <w:sz w:val="32"/>
          <w:szCs w:val="32"/>
          <w:lang w:val="en-US" w:eastAsia="zh-CN"/>
        </w:rPr>
        <w:t>计</w:t>
      </w:r>
      <w:r>
        <w:rPr>
          <w:rFonts w:hint="eastAsia" w:ascii="仿宋_GB2312" w:hAnsi="仿宋" w:eastAsia="仿宋_GB2312" w:cs="仿宋"/>
          <w:sz w:val="32"/>
          <w:szCs w:val="32"/>
          <w:lang w:eastAsia="zh-CN"/>
        </w:rPr>
        <w:t>分</w:t>
      </w:r>
      <w:bookmarkEnd w:id="11"/>
      <w:r>
        <w:rPr>
          <w:rFonts w:hint="eastAsia" w:ascii="仿宋_GB2312" w:hAnsi="仿宋" w:eastAsia="仿宋_GB2312" w:cs="仿宋"/>
          <w:sz w:val="32"/>
          <w:szCs w:val="32"/>
          <w:lang w:eastAsia="zh-CN"/>
        </w:rPr>
        <w:t>标准如下：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9"/>
        <w:gridCol w:w="2190"/>
        <w:gridCol w:w="2025"/>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等级</w:t>
            </w:r>
          </w:p>
        </w:tc>
        <w:tc>
          <w:tcPr>
            <w:tcW w:w="2190"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国家级</w:t>
            </w:r>
          </w:p>
        </w:tc>
        <w:tc>
          <w:tcPr>
            <w:tcW w:w="2025"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省部级</w:t>
            </w:r>
          </w:p>
        </w:tc>
        <w:tc>
          <w:tcPr>
            <w:tcW w:w="1965"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市校级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分值</w:t>
            </w:r>
          </w:p>
        </w:tc>
        <w:tc>
          <w:tcPr>
            <w:tcW w:w="2190" w:type="dxa"/>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30</w:t>
            </w:r>
          </w:p>
        </w:tc>
        <w:tc>
          <w:tcPr>
            <w:tcW w:w="2025" w:type="dxa"/>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20</w:t>
            </w:r>
          </w:p>
        </w:tc>
        <w:tc>
          <w:tcPr>
            <w:tcW w:w="1965" w:type="dxa"/>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10</w:t>
            </w:r>
          </w:p>
        </w:tc>
      </w:tr>
    </w:tbl>
    <w:p>
      <w:pPr>
        <w:numPr>
          <w:ilvl w:val="0"/>
          <w:numId w:val="0"/>
        </w:numPr>
        <w:spacing w:before="156" w:beforeLines="50"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注：同一事迹多次受到表彰或表扬的，只取最高级别加分，不累计加分。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560" w:firstLineChars="200"/>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28"/>
          <w:szCs w:val="28"/>
          <w:lang w:val="en-US" w:eastAsia="zh-CN"/>
        </w:rPr>
        <w:t>3.</w:t>
      </w:r>
      <w:r>
        <w:rPr>
          <w:rFonts w:hint="eastAsia" w:ascii="仿宋_GB2312" w:hAnsi="仿宋" w:eastAsia="仿宋_GB2312" w:cs="仿宋"/>
          <w:sz w:val="32"/>
          <w:szCs w:val="32"/>
          <w:lang w:val="en-US" w:eastAsia="zh-CN"/>
        </w:rPr>
        <w:t>热心社会工作，在评选年度担任研究生干部，积极完成组织安排的各项任务，有较强的工作能力和组织能力，工作成绩突出；在同学中能起到带头模范作用，工作勤恳有效。根据担任职务级别计</w:t>
      </w:r>
      <w:r>
        <w:rPr>
          <w:rFonts w:hint="eastAsia" w:ascii="仿宋_GB2312" w:hAnsi="仿宋" w:eastAsia="仿宋_GB2312" w:cs="仿宋"/>
          <w:sz w:val="32"/>
          <w:szCs w:val="32"/>
          <w:lang w:eastAsia="zh-CN"/>
        </w:rPr>
        <w:t>分</w:t>
      </w:r>
      <w:r>
        <w:rPr>
          <w:rFonts w:hint="eastAsia" w:ascii="仿宋_GB2312" w:hAnsi="仿宋" w:eastAsia="仿宋_GB2312" w:cs="仿宋"/>
          <w:sz w:val="32"/>
          <w:szCs w:val="32"/>
          <w:lang w:val="en-US" w:eastAsia="zh-CN"/>
        </w:rPr>
        <w:t>标准如下：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9"/>
        <w:gridCol w:w="919"/>
        <w:gridCol w:w="906"/>
        <w:gridCol w:w="1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4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担任职务</w:t>
            </w:r>
          </w:p>
        </w:tc>
        <w:tc>
          <w:tcPr>
            <w:tcW w:w="91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优秀</w:t>
            </w:r>
          </w:p>
        </w:tc>
        <w:tc>
          <w:tcPr>
            <w:tcW w:w="906"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良好</w:t>
            </w:r>
          </w:p>
        </w:tc>
        <w:tc>
          <w:tcPr>
            <w:tcW w:w="1025"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649" w:type="dxa"/>
            <w:vAlign w:val="center"/>
          </w:tcPr>
          <w:p>
            <w:pPr>
              <w:keepNext w:val="0"/>
              <w:keepLines w:val="0"/>
              <w:widowControl/>
              <w:suppressLineNumbers w:val="0"/>
              <w:jc w:val="left"/>
              <w:textAlignment w:val="center"/>
              <w:rPr>
                <w:rFonts w:hint="default" w:ascii="仿宋_GB2312" w:hAnsi="仿宋" w:eastAsia="仿宋_GB2312" w:cs="仿宋"/>
                <w:sz w:val="28"/>
                <w:szCs w:val="28"/>
                <w:highlight w:val="none"/>
                <w:vertAlign w:val="baseline"/>
                <w:lang w:val="en-US" w:eastAsia="zh-CN"/>
              </w:rPr>
            </w:pPr>
            <w:r>
              <w:rPr>
                <w:rFonts w:hint="eastAsia" w:ascii="仿宋_GB2312" w:hAnsi="宋体" w:eastAsia="仿宋_GB2312" w:cs="仿宋_GB2312"/>
                <w:i w:val="0"/>
                <w:iCs w:val="0"/>
                <w:color w:val="000000"/>
                <w:kern w:val="0"/>
                <w:sz w:val="28"/>
                <w:szCs w:val="28"/>
                <w:highlight w:val="none"/>
                <w:u w:val="none"/>
                <w:lang w:val="en-US" w:eastAsia="zh-CN" w:bidi="ar"/>
              </w:rPr>
              <w:t>博士生</w:t>
            </w:r>
            <w:r>
              <w:rPr>
                <w:rFonts w:hint="default" w:ascii="仿宋_GB2312" w:hAnsi="宋体" w:eastAsia="仿宋_GB2312" w:cs="仿宋_GB2312"/>
                <w:i w:val="0"/>
                <w:iCs w:val="0"/>
                <w:color w:val="000000"/>
                <w:kern w:val="0"/>
                <w:sz w:val="28"/>
                <w:szCs w:val="28"/>
                <w:highlight w:val="none"/>
                <w:u w:val="none"/>
                <w:lang w:val="en-US" w:eastAsia="zh-CN" w:bidi="ar"/>
              </w:rPr>
              <w:t>会主席</w:t>
            </w:r>
            <w:r>
              <w:rPr>
                <w:rFonts w:hint="eastAsia" w:ascii="仿宋_GB2312" w:hAnsi="宋体" w:eastAsia="仿宋_GB2312" w:cs="仿宋_GB2312"/>
                <w:i w:val="0"/>
                <w:iCs w:val="0"/>
                <w:color w:val="000000"/>
                <w:kern w:val="0"/>
                <w:sz w:val="28"/>
                <w:szCs w:val="28"/>
                <w:highlight w:val="none"/>
                <w:u w:val="none"/>
                <w:lang w:val="en-US" w:eastAsia="zh-CN" w:bidi="ar"/>
              </w:rPr>
              <w:t>、其他校级组织负责人、党总支副书记、团总支副书记</w:t>
            </w:r>
          </w:p>
        </w:tc>
        <w:tc>
          <w:tcPr>
            <w:tcW w:w="91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20</w:t>
            </w:r>
          </w:p>
        </w:tc>
        <w:tc>
          <w:tcPr>
            <w:tcW w:w="906"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15</w:t>
            </w:r>
          </w:p>
        </w:tc>
        <w:tc>
          <w:tcPr>
            <w:tcW w:w="1025"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5649" w:type="dxa"/>
            <w:vAlign w:val="center"/>
          </w:tcPr>
          <w:p>
            <w:pPr>
              <w:keepNext w:val="0"/>
              <w:keepLines w:val="0"/>
              <w:widowControl/>
              <w:suppressLineNumbers w:val="0"/>
              <w:jc w:val="left"/>
              <w:textAlignment w:val="center"/>
              <w:rPr>
                <w:rFonts w:hint="default" w:ascii="仿宋_GB2312" w:hAnsi="仿宋" w:eastAsia="仿宋_GB2312" w:cs="仿宋"/>
                <w:sz w:val="28"/>
                <w:szCs w:val="28"/>
                <w:highlight w:val="none"/>
                <w:vertAlign w:val="baseline"/>
                <w:lang w:val="en-US" w:eastAsia="zh-CN"/>
              </w:rPr>
            </w:pPr>
            <w:r>
              <w:rPr>
                <w:rFonts w:hint="eastAsia" w:ascii="仿宋_GB2312" w:hAnsi="宋体" w:eastAsia="仿宋_GB2312" w:cs="仿宋_GB2312"/>
                <w:i w:val="0"/>
                <w:iCs w:val="0"/>
                <w:color w:val="000000"/>
                <w:kern w:val="0"/>
                <w:sz w:val="28"/>
                <w:szCs w:val="28"/>
                <w:highlight w:val="none"/>
                <w:u w:val="none"/>
                <w:lang w:val="en-US" w:eastAsia="zh-CN" w:bidi="ar"/>
              </w:rPr>
              <w:t>博士生会</w:t>
            </w:r>
            <w:r>
              <w:rPr>
                <w:rFonts w:hint="default" w:ascii="仿宋_GB2312" w:hAnsi="宋体" w:eastAsia="仿宋_GB2312" w:cs="仿宋_GB2312"/>
                <w:i w:val="0"/>
                <w:iCs w:val="0"/>
                <w:color w:val="000000"/>
                <w:kern w:val="0"/>
                <w:sz w:val="28"/>
                <w:szCs w:val="28"/>
                <w:highlight w:val="none"/>
                <w:u w:val="none"/>
                <w:lang w:val="en-US" w:eastAsia="zh-CN" w:bidi="ar"/>
              </w:rPr>
              <w:t>副主席、</w:t>
            </w:r>
            <w:r>
              <w:rPr>
                <w:rFonts w:hint="eastAsia" w:ascii="仿宋_GB2312" w:hAnsi="宋体" w:eastAsia="仿宋_GB2312" w:cs="仿宋_GB2312"/>
                <w:i w:val="0"/>
                <w:iCs w:val="0"/>
                <w:color w:val="000000"/>
                <w:kern w:val="0"/>
                <w:sz w:val="28"/>
                <w:szCs w:val="28"/>
                <w:highlight w:val="none"/>
                <w:u w:val="none"/>
                <w:lang w:val="en-US" w:eastAsia="zh-CN" w:bidi="ar"/>
              </w:rPr>
              <w:t>其他校级组织主要负责人、党总支其他支委、团总支其他支委、</w:t>
            </w:r>
            <w:r>
              <w:rPr>
                <w:rFonts w:hint="default" w:ascii="仿宋_GB2312" w:hAnsi="宋体" w:eastAsia="仿宋_GB2312" w:cs="仿宋_GB2312"/>
                <w:i w:val="0"/>
                <w:iCs w:val="0"/>
                <w:color w:val="000000"/>
                <w:kern w:val="0"/>
                <w:sz w:val="28"/>
                <w:szCs w:val="28"/>
                <w:highlight w:val="none"/>
                <w:u w:val="none"/>
                <w:lang w:val="en-US" w:eastAsia="zh-CN" w:bidi="ar"/>
              </w:rPr>
              <w:t>党支部书记、团</w:t>
            </w:r>
            <w:r>
              <w:rPr>
                <w:rFonts w:hint="eastAsia" w:ascii="仿宋_GB2312" w:hAnsi="宋体" w:eastAsia="仿宋_GB2312" w:cs="仿宋_GB2312"/>
                <w:i w:val="0"/>
                <w:iCs w:val="0"/>
                <w:color w:val="000000"/>
                <w:kern w:val="0"/>
                <w:sz w:val="28"/>
                <w:szCs w:val="28"/>
                <w:highlight w:val="none"/>
                <w:u w:val="none"/>
                <w:lang w:val="en-US" w:eastAsia="zh-CN" w:bidi="ar"/>
              </w:rPr>
              <w:t>支部</w:t>
            </w:r>
            <w:r>
              <w:rPr>
                <w:rFonts w:hint="default" w:ascii="仿宋_GB2312" w:hAnsi="宋体" w:eastAsia="仿宋_GB2312" w:cs="仿宋_GB2312"/>
                <w:i w:val="0"/>
                <w:iCs w:val="0"/>
                <w:color w:val="000000"/>
                <w:kern w:val="0"/>
                <w:sz w:val="28"/>
                <w:szCs w:val="28"/>
                <w:highlight w:val="none"/>
                <w:u w:val="none"/>
                <w:lang w:val="en-US" w:eastAsia="zh-CN" w:bidi="ar"/>
              </w:rPr>
              <w:t>书记</w:t>
            </w:r>
          </w:p>
        </w:tc>
        <w:tc>
          <w:tcPr>
            <w:tcW w:w="91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18</w:t>
            </w:r>
          </w:p>
        </w:tc>
        <w:tc>
          <w:tcPr>
            <w:tcW w:w="906"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13</w:t>
            </w:r>
          </w:p>
        </w:tc>
        <w:tc>
          <w:tcPr>
            <w:tcW w:w="1025"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5649" w:type="dxa"/>
            <w:vAlign w:val="center"/>
          </w:tcPr>
          <w:p>
            <w:pPr>
              <w:keepNext w:val="0"/>
              <w:keepLines w:val="0"/>
              <w:widowControl/>
              <w:suppressLineNumbers w:val="0"/>
              <w:jc w:val="left"/>
              <w:textAlignment w:val="center"/>
              <w:rPr>
                <w:rFonts w:hint="default" w:ascii="仿宋_GB2312" w:hAnsi="仿宋" w:eastAsia="仿宋_GB2312" w:cs="仿宋"/>
                <w:sz w:val="28"/>
                <w:szCs w:val="28"/>
                <w:highlight w:val="none"/>
                <w:vertAlign w:val="baseline"/>
                <w:lang w:val="en-US" w:eastAsia="zh-CN"/>
              </w:rPr>
            </w:pPr>
            <w:r>
              <w:rPr>
                <w:rFonts w:hint="eastAsia" w:ascii="仿宋_GB2312" w:hAnsi="宋体" w:eastAsia="仿宋_GB2312" w:cs="仿宋_GB2312"/>
                <w:i w:val="0"/>
                <w:iCs w:val="0"/>
                <w:color w:val="000000"/>
                <w:kern w:val="0"/>
                <w:sz w:val="28"/>
                <w:szCs w:val="28"/>
                <w:highlight w:val="none"/>
                <w:u w:val="none"/>
                <w:lang w:val="en-US" w:eastAsia="zh-CN" w:bidi="ar"/>
              </w:rPr>
              <w:t>博士生会</w:t>
            </w:r>
            <w:r>
              <w:rPr>
                <w:rFonts w:hint="default" w:ascii="仿宋_GB2312" w:hAnsi="宋体" w:eastAsia="仿宋_GB2312" w:cs="仿宋_GB2312"/>
                <w:i w:val="0"/>
                <w:iCs w:val="0"/>
                <w:color w:val="000000"/>
                <w:kern w:val="0"/>
                <w:sz w:val="28"/>
                <w:szCs w:val="28"/>
                <w:highlight w:val="none"/>
                <w:u w:val="none"/>
                <w:lang w:val="en-US" w:eastAsia="zh-CN" w:bidi="ar"/>
              </w:rPr>
              <w:t>部长</w:t>
            </w:r>
            <w:r>
              <w:rPr>
                <w:rFonts w:hint="eastAsia" w:ascii="仿宋_GB2312" w:hAnsi="宋体" w:eastAsia="仿宋_GB2312" w:cs="仿宋_GB2312"/>
                <w:i w:val="0"/>
                <w:iCs w:val="0"/>
                <w:color w:val="000000"/>
                <w:kern w:val="0"/>
                <w:sz w:val="28"/>
                <w:szCs w:val="28"/>
                <w:highlight w:val="none"/>
                <w:u w:val="none"/>
                <w:lang w:val="en-US" w:eastAsia="zh-CN" w:bidi="ar"/>
              </w:rPr>
              <w:t>、</w:t>
            </w:r>
            <w:r>
              <w:rPr>
                <w:rFonts w:hint="default" w:ascii="仿宋_GB2312" w:hAnsi="宋体" w:eastAsia="仿宋_GB2312" w:cs="仿宋_GB2312"/>
                <w:i w:val="0"/>
                <w:iCs w:val="0"/>
                <w:color w:val="000000"/>
                <w:kern w:val="0"/>
                <w:sz w:val="28"/>
                <w:szCs w:val="28"/>
                <w:highlight w:val="none"/>
                <w:u w:val="none"/>
                <w:lang w:val="en-US" w:eastAsia="zh-CN" w:bidi="ar"/>
              </w:rPr>
              <w:t>副部长、</w:t>
            </w:r>
            <w:r>
              <w:rPr>
                <w:rFonts w:hint="eastAsia" w:ascii="仿宋_GB2312" w:hAnsi="宋体" w:eastAsia="仿宋_GB2312" w:cs="仿宋_GB2312"/>
                <w:i w:val="0"/>
                <w:iCs w:val="0"/>
                <w:color w:val="000000"/>
                <w:kern w:val="0"/>
                <w:sz w:val="28"/>
                <w:szCs w:val="28"/>
                <w:highlight w:val="none"/>
                <w:u w:val="none"/>
                <w:lang w:val="en-US" w:eastAsia="zh-CN" w:bidi="ar"/>
              </w:rPr>
              <w:t>院级组织主要负责人、</w:t>
            </w:r>
            <w:r>
              <w:rPr>
                <w:rFonts w:hint="default" w:ascii="仿宋_GB2312" w:hAnsi="宋体" w:eastAsia="仿宋_GB2312" w:cs="仿宋_GB2312"/>
                <w:i w:val="0"/>
                <w:iCs w:val="0"/>
                <w:color w:val="000000"/>
                <w:kern w:val="0"/>
                <w:sz w:val="28"/>
                <w:szCs w:val="28"/>
                <w:highlight w:val="none"/>
                <w:u w:val="none"/>
                <w:lang w:val="en-US" w:eastAsia="zh-CN" w:bidi="ar"/>
              </w:rPr>
              <w:t>党支部副书记、团</w:t>
            </w:r>
            <w:r>
              <w:rPr>
                <w:rFonts w:hint="eastAsia" w:ascii="仿宋_GB2312" w:hAnsi="宋体" w:eastAsia="仿宋_GB2312" w:cs="仿宋_GB2312"/>
                <w:i w:val="0"/>
                <w:iCs w:val="0"/>
                <w:color w:val="000000"/>
                <w:kern w:val="0"/>
                <w:sz w:val="28"/>
                <w:szCs w:val="28"/>
                <w:highlight w:val="none"/>
                <w:u w:val="none"/>
                <w:lang w:val="en-US" w:eastAsia="zh-CN" w:bidi="ar"/>
              </w:rPr>
              <w:t>支部</w:t>
            </w:r>
            <w:r>
              <w:rPr>
                <w:rFonts w:hint="default" w:ascii="仿宋_GB2312" w:hAnsi="宋体" w:eastAsia="仿宋_GB2312" w:cs="仿宋_GB2312"/>
                <w:i w:val="0"/>
                <w:iCs w:val="0"/>
                <w:color w:val="000000"/>
                <w:kern w:val="0"/>
                <w:sz w:val="28"/>
                <w:szCs w:val="28"/>
                <w:highlight w:val="none"/>
                <w:u w:val="none"/>
                <w:lang w:val="en-US" w:eastAsia="zh-CN" w:bidi="ar"/>
              </w:rPr>
              <w:t>副书记、楼栋党总支支委</w:t>
            </w:r>
          </w:p>
        </w:tc>
        <w:tc>
          <w:tcPr>
            <w:tcW w:w="91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15</w:t>
            </w:r>
          </w:p>
        </w:tc>
        <w:tc>
          <w:tcPr>
            <w:tcW w:w="906"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10</w:t>
            </w:r>
          </w:p>
        </w:tc>
        <w:tc>
          <w:tcPr>
            <w:tcW w:w="1025"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5649" w:type="dxa"/>
            <w:vAlign w:val="center"/>
          </w:tcPr>
          <w:p>
            <w:pPr>
              <w:keepNext w:val="0"/>
              <w:keepLines w:val="0"/>
              <w:widowControl/>
              <w:suppressLineNumbers w:val="0"/>
              <w:jc w:val="left"/>
              <w:textAlignment w:val="center"/>
              <w:rPr>
                <w:rFonts w:hint="default" w:ascii="仿宋_GB2312" w:hAnsi="仿宋" w:eastAsia="仿宋_GB2312" w:cs="仿宋"/>
                <w:sz w:val="28"/>
                <w:szCs w:val="28"/>
                <w:highlight w:val="none"/>
                <w:vertAlign w:val="baseline"/>
                <w:lang w:val="en-US" w:eastAsia="zh-CN"/>
              </w:rPr>
            </w:pPr>
            <w:r>
              <w:rPr>
                <w:rFonts w:hint="eastAsia" w:ascii="仿宋_GB2312" w:hAnsi="宋体" w:eastAsia="仿宋_GB2312" w:cs="仿宋_GB2312"/>
                <w:i w:val="0"/>
                <w:iCs w:val="0"/>
                <w:color w:val="000000"/>
                <w:kern w:val="0"/>
                <w:sz w:val="28"/>
                <w:szCs w:val="28"/>
                <w:highlight w:val="none"/>
                <w:u w:val="none"/>
                <w:lang w:val="en-US" w:eastAsia="zh-CN" w:bidi="ar"/>
              </w:rPr>
              <w:t>博士生会</w:t>
            </w:r>
            <w:r>
              <w:rPr>
                <w:rFonts w:hint="default" w:ascii="仿宋_GB2312" w:hAnsi="宋体" w:eastAsia="仿宋_GB2312" w:cs="仿宋_GB2312"/>
                <w:i w:val="0"/>
                <w:iCs w:val="0"/>
                <w:color w:val="000000"/>
                <w:kern w:val="0"/>
                <w:sz w:val="28"/>
                <w:szCs w:val="28"/>
                <w:highlight w:val="none"/>
                <w:u w:val="none"/>
                <w:lang w:val="en-US" w:eastAsia="zh-CN" w:bidi="ar"/>
              </w:rPr>
              <w:t>干事、</w:t>
            </w:r>
            <w:r>
              <w:rPr>
                <w:rFonts w:hint="eastAsia" w:ascii="仿宋_GB2312" w:hAnsi="宋体" w:eastAsia="仿宋_GB2312" w:cs="仿宋_GB2312"/>
                <w:i w:val="0"/>
                <w:iCs w:val="0"/>
                <w:color w:val="000000"/>
                <w:kern w:val="0"/>
                <w:sz w:val="28"/>
                <w:szCs w:val="28"/>
                <w:highlight w:val="none"/>
                <w:u w:val="none"/>
                <w:lang w:val="en-US" w:eastAsia="zh-CN" w:bidi="ar"/>
              </w:rPr>
              <w:t>院级组织部门负责人、</w:t>
            </w:r>
            <w:r>
              <w:rPr>
                <w:rFonts w:hint="default" w:ascii="仿宋_GB2312" w:hAnsi="宋体" w:eastAsia="仿宋_GB2312" w:cs="仿宋_GB2312"/>
                <w:i w:val="0"/>
                <w:iCs w:val="0"/>
                <w:color w:val="000000"/>
                <w:kern w:val="0"/>
                <w:sz w:val="28"/>
                <w:szCs w:val="28"/>
                <w:highlight w:val="none"/>
                <w:u w:val="none"/>
                <w:lang w:val="en-US" w:eastAsia="zh-CN" w:bidi="ar"/>
              </w:rPr>
              <w:t>党支部</w:t>
            </w:r>
            <w:r>
              <w:rPr>
                <w:rFonts w:hint="eastAsia" w:ascii="仿宋_GB2312" w:hAnsi="宋体" w:eastAsia="仿宋_GB2312" w:cs="仿宋_GB2312"/>
                <w:i w:val="0"/>
                <w:iCs w:val="0"/>
                <w:color w:val="000000"/>
                <w:kern w:val="0"/>
                <w:sz w:val="28"/>
                <w:szCs w:val="28"/>
                <w:highlight w:val="none"/>
                <w:u w:val="none"/>
                <w:lang w:val="en-US" w:eastAsia="zh-CN" w:bidi="ar"/>
              </w:rPr>
              <w:t>其他支委</w:t>
            </w:r>
            <w:r>
              <w:rPr>
                <w:rFonts w:hint="default" w:ascii="仿宋_GB2312" w:hAnsi="宋体" w:eastAsia="仿宋_GB2312" w:cs="仿宋_GB2312"/>
                <w:i w:val="0"/>
                <w:iCs w:val="0"/>
                <w:color w:val="000000"/>
                <w:kern w:val="0"/>
                <w:sz w:val="28"/>
                <w:szCs w:val="28"/>
                <w:highlight w:val="none"/>
                <w:u w:val="none"/>
                <w:lang w:val="en-US" w:eastAsia="zh-CN" w:bidi="ar"/>
              </w:rPr>
              <w:t>、团支部</w:t>
            </w:r>
            <w:r>
              <w:rPr>
                <w:rFonts w:hint="eastAsia" w:ascii="仿宋_GB2312" w:hAnsi="宋体" w:eastAsia="仿宋_GB2312" w:cs="仿宋_GB2312"/>
                <w:i w:val="0"/>
                <w:iCs w:val="0"/>
                <w:color w:val="000000"/>
                <w:kern w:val="0"/>
                <w:sz w:val="28"/>
                <w:szCs w:val="28"/>
                <w:highlight w:val="none"/>
                <w:u w:val="none"/>
                <w:lang w:val="en-US" w:eastAsia="zh-CN" w:bidi="ar"/>
              </w:rPr>
              <w:t>其他支委</w:t>
            </w:r>
            <w:r>
              <w:rPr>
                <w:rFonts w:hint="default" w:ascii="仿宋_GB2312" w:hAnsi="宋体" w:eastAsia="仿宋_GB2312" w:cs="仿宋_GB2312"/>
                <w:i w:val="0"/>
                <w:iCs w:val="0"/>
                <w:color w:val="000000"/>
                <w:kern w:val="0"/>
                <w:sz w:val="28"/>
                <w:szCs w:val="28"/>
                <w:highlight w:val="none"/>
                <w:u w:val="none"/>
                <w:lang w:val="en-US" w:eastAsia="zh-CN" w:bidi="ar"/>
              </w:rPr>
              <w:t>、楼层</w:t>
            </w:r>
            <w:r>
              <w:rPr>
                <w:rFonts w:hint="eastAsia" w:ascii="仿宋_GB2312" w:hAnsi="宋体" w:eastAsia="仿宋_GB2312" w:cs="仿宋_GB2312"/>
                <w:i w:val="0"/>
                <w:iCs w:val="0"/>
                <w:color w:val="000000"/>
                <w:kern w:val="0"/>
                <w:sz w:val="28"/>
                <w:szCs w:val="28"/>
                <w:highlight w:val="none"/>
                <w:u w:val="none"/>
                <w:lang w:val="en-US" w:eastAsia="zh-CN" w:bidi="ar"/>
              </w:rPr>
              <w:t>党</w:t>
            </w:r>
            <w:r>
              <w:rPr>
                <w:rFonts w:hint="default" w:ascii="仿宋_GB2312" w:hAnsi="宋体" w:eastAsia="仿宋_GB2312" w:cs="仿宋_GB2312"/>
                <w:i w:val="0"/>
                <w:iCs w:val="0"/>
                <w:color w:val="000000"/>
                <w:kern w:val="0"/>
                <w:sz w:val="28"/>
                <w:szCs w:val="28"/>
                <w:highlight w:val="none"/>
                <w:u w:val="none"/>
                <w:lang w:val="en-US" w:eastAsia="zh-CN" w:bidi="ar"/>
              </w:rPr>
              <w:t>支部支委</w:t>
            </w:r>
          </w:p>
        </w:tc>
        <w:tc>
          <w:tcPr>
            <w:tcW w:w="91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12</w:t>
            </w:r>
          </w:p>
        </w:tc>
        <w:tc>
          <w:tcPr>
            <w:tcW w:w="906"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7</w:t>
            </w:r>
          </w:p>
        </w:tc>
        <w:tc>
          <w:tcPr>
            <w:tcW w:w="1025"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2</w:t>
            </w:r>
          </w:p>
        </w:tc>
      </w:tr>
    </w:tbl>
    <w:p>
      <w:pPr>
        <w:numPr>
          <w:ilvl w:val="0"/>
          <w:numId w:val="0"/>
        </w:numPr>
        <w:spacing w:before="156" w:beforeLines="50"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注：“担任职务”栏以最高级别计，不重复计分。在博士生会等校级组织担任职务须获得党委研究生工作部认可，成绩由党委研究生工作部评定。在院级担任职务须获得培养单位认可，成绩由培养单位评定。</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left="1050" w:leftChars="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第七条 有下列情形的酌情扣分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.受培养单位通报批评者一次扣2分，受学校通报批评者一次扣4分；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.学校、培养单位组织且要求必须参加的活动，无故不参加的，每次扣</w:t>
      </w: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rPr>
        <w:t>.在突发、偶发和公共事件处理过程中，不听从组织安排，造成不良影响的一次扣6分；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.通过网络、微博、微信等渠道发布不实信息，给学校声誉造成影响的扣10分；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rPr>
        <w:t>其他经各培养单位公示无异议，报党委研究生工作部（研究生管理处）备案的扣分项目。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因同一事由（件）被扣分者，以最高项记，不同事由（件）造成的扣分要累加。</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 w:eastAsia="仿宋_GB2312" w:cs="仿宋"/>
          <w:b w:val="0"/>
          <w:bCs w:val="0"/>
          <w:kern w:val="2"/>
          <w:sz w:val="32"/>
          <w:szCs w:val="32"/>
          <w:lang w:val="en-US" w:eastAsia="zh-CN" w:bidi="ar-SA"/>
        </w:rPr>
      </w:pPr>
      <w:r>
        <w:rPr>
          <w:rFonts w:hint="eastAsia" w:ascii="黑体" w:hAnsi="黑体" w:eastAsia="黑体" w:cs="仿宋"/>
          <w:b/>
          <w:bCs/>
          <w:sz w:val="32"/>
          <w:szCs w:val="32"/>
        </w:rPr>
        <w:t>第</w:t>
      </w:r>
      <w:r>
        <w:rPr>
          <w:rFonts w:hint="eastAsia" w:ascii="黑体" w:hAnsi="黑体" w:eastAsia="黑体" w:cs="仿宋"/>
          <w:b/>
          <w:bCs/>
          <w:sz w:val="32"/>
          <w:szCs w:val="32"/>
          <w:lang w:val="en-US" w:eastAsia="zh-CN"/>
        </w:rPr>
        <w:t>四</w:t>
      </w:r>
      <w:r>
        <w:rPr>
          <w:rFonts w:hint="eastAsia" w:ascii="黑体" w:hAnsi="黑体" w:eastAsia="黑体" w:cs="仿宋"/>
          <w:b/>
          <w:bCs/>
          <w:sz w:val="32"/>
          <w:szCs w:val="32"/>
        </w:rPr>
        <w:t xml:space="preserve">章 </w:t>
      </w:r>
      <w:r>
        <w:rPr>
          <w:rFonts w:hint="eastAsia" w:ascii="黑体" w:hAnsi="黑体" w:eastAsia="黑体" w:cs="仿宋"/>
          <w:b/>
          <w:bCs/>
          <w:sz w:val="32"/>
          <w:szCs w:val="32"/>
          <w:lang w:val="en-US" w:eastAsia="zh-CN"/>
        </w:rPr>
        <w:t>智育</w:t>
      </w:r>
      <w:r>
        <w:rPr>
          <w:rFonts w:hint="eastAsia" w:ascii="黑体" w:hAnsi="黑体" w:eastAsia="黑体" w:cs="仿宋"/>
          <w:b/>
          <w:bCs/>
          <w:sz w:val="32"/>
          <w:szCs w:val="32"/>
        </w:rPr>
        <w:t>测评分数</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lang w:val="en-US" w:eastAsia="zh-CN"/>
        </w:rPr>
        <w:t xml:space="preserve">第八条 </w:t>
      </w:r>
      <w:r>
        <w:rPr>
          <w:rFonts w:hint="eastAsia" w:ascii="仿宋_GB2312" w:hAnsi="仿宋" w:eastAsia="仿宋_GB2312" w:cs="仿宋"/>
          <w:b w:val="0"/>
          <w:bCs w:val="0"/>
          <w:kern w:val="2"/>
          <w:sz w:val="32"/>
          <w:szCs w:val="32"/>
          <w:lang w:val="en-US" w:eastAsia="zh-CN" w:bidi="ar-SA"/>
        </w:rPr>
        <w:t>智育分包括</w:t>
      </w:r>
      <w:r>
        <w:rPr>
          <w:rFonts w:hint="eastAsia" w:ascii="仿宋_GB2312" w:hAnsi="仿宋" w:eastAsia="仿宋_GB2312" w:cs="仿宋"/>
          <w:sz w:val="32"/>
          <w:szCs w:val="32"/>
          <w:lang w:val="en-US" w:eastAsia="zh-CN"/>
        </w:rPr>
        <w:t>课程考核成绩、学术科研分两</w:t>
      </w:r>
      <w:r>
        <w:rPr>
          <w:rFonts w:hint="eastAsia" w:ascii="仿宋_GB2312" w:hAnsi="仿宋" w:eastAsia="仿宋_GB2312" w:cs="仿宋"/>
          <w:b w:val="0"/>
          <w:bCs w:val="0"/>
          <w:kern w:val="2"/>
          <w:sz w:val="32"/>
          <w:szCs w:val="32"/>
          <w:lang w:val="en-US" w:eastAsia="zh-CN" w:bidi="ar-SA"/>
        </w:rPr>
        <w:t>个部分，</w:t>
      </w:r>
      <w:r>
        <w:rPr>
          <w:rFonts w:hint="eastAsia" w:ascii="仿宋_GB2312" w:hAnsi="仿宋" w:eastAsia="仿宋_GB2312" w:cs="仿宋"/>
          <w:sz w:val="32"/>
          <w:szCs w:val="32"/>
          <w:lang w:val="en-US" w:eastAsia="zh-CN"/>
        </w:rPr>
        <w:t>权重及计算方法如下：</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840" w:firstLineChars="300"/>
        <w:jc w:val="left"/>
        <w:textAlignment w:val="auto"/>
        <w:rPr>
          <w:rFonts w:ascii="仿宋_GB2312" w:hAnsi="仿宋" w:eastAsia="仿宋_GB2312" w:cs="仿宋"/>
          <w:sz w:val="32"/>
          <w:szCs w:val="32"/>
        </w:rPr>
      </w:pPr>
      <w:r>
        <w:rPr>
          <w:rFonts w:hint="eastAsia" w:hAnsi="Cambria Math" w:cs="仿宋"/>
          <w:i w:val="0"/>
          <w:sz w:val="28"/>
          <w:szCs w:val="32"/>
          <w:lang w:val="en-US" w:eastAsia="zh-CN"/>
        </w:rPr>
        <w:t xml:space="preserve">智育分 = </w:t>
      </w:r>
      <m:oMath>
        <m:d>
          <m:dPr>
            <m:begChr m:val="{"/>
            <m:endChr m:val=""/>
            <m:ctrlPr>
              <w:rPr>
                <w:rFonts w:ascii="Cambria Math" w:hAnsi="Cambria Math" w:cs="仿宋"/>
                <w:i/>
                <w:sz w:val="28"/>
                <w:szCs w:val="32"/>
              </w:rPr>
            </m:ctrlPr>
          </m:dPr>
          <m:e>
            <m:eqArr>
              <m:eqArrPr>
                <m:ctrlPr>
                  <w:rPr>
                    <w:rFonts w:hint="eastAsia" w:ascii="Cambria Math" w:hAnsi="Cambria Math" w:eastAsia="仿宋" w:cs="仿宋"/>
                    <w:i w:val="0"/>
                    <w:iCs/>
                    <w:sz w:val="28"/>
                    <w:szCs w:val="28"/>
                  </w:rPr>
                </m:ctrlPr>
              </m:eqArrPr>
              <m:e>
                <m:r>
                  <m:rPr>
                    <m:sty m:val="p"/>
                  </m:rPr>
                  <w:rPr>
                    <w:rFonts w:hint="eastAsia" w:ascii="Cambria Math" w:hAnsi="Cambria Math" w:eastAsia="仿宋" w:cs="仿宋"/>
                    <w:sz w:val="28"/>
                    <w:szCs w:val="28"/>
                    <w:lang w:val="en-US" w:eastAsia="zh-CN"/>
                  </w:rPr>
                  <m:t>0.2∗课程考核成绩+0.8∗学术科研分（博一）</m:t>
                </m:r>
                <m:ctrlPr>
                  <w:rPr>
                    <w:rFonts w:hint="eastAsia" w:ascii="Cambria Math" w:hAnsi="Cambria Math" w:eastAsia="仿宋" w:cs="仿宋"/>
                    <w:i w:val="0"/>
                    <w:iCs/>
                    <w:sz w:val="28"/>
                    <w:szCs w:val="28"/>
                    <w:lang w:val="en-US" w:eastAsia="zh-CN"/>
                  </w:rPr>
                </m:ctrlPr>
              </m:e>
              <m:e>
                <m:r>
                  <m:rPr>
                    <m:sty m:val="p"/>
                  </m:rPr>
                  <w:rPr>
                    <w:rFonts w:hint="eastAsia" w:ascii="Cambria Math" w:hAnsi="Cambria Math" w:eastAsia="仿宋" w:cs="仿宋"/>
                    <w:sz w:val="28"/>
                    <w:szCs w:val="28"/>
                    <w:lang w:val="en-US" w:eastAsia="zh-CN"/>
                  </w:rPr>
                  <m:t>学术科研分（博二）</m:t>
                </m:r>
                <m:ctrlPr>
                  <w:rPr>
                    <w:rFonts w:hint="eastAsia" w:ascii="Cambria Math" w:hAnsi="Cambria Math" w:eastAsia="仿宋" w:cs="仿宋"/>
                    <w:i w:val="0"/>
                    <w:iCs/>
                    <w:sz w:val="28"/>
                    <w:szCs w:val="28"/>
                  </w:rPr>
                </m:ctrlPr>
              </m:e>
              <m:e>
                <m:ctrlPr>
                  <w:rPr>
                    <w:rFonts w:hint="eastAsia" w:ascii="Cambria Math" w:hAnsi="Cambria Math" w:eastAsia="仿宋" w:cs="仿宋"/>
                    <w:i w:val="0"/>
                    <w:iCs/>
                    <w:sz w:val="28"/>
                    <w:szCs w:val="28"/>
                  </w:rPr>
                </m:ctrlPr>
              </m:e>
            </m:eqArr>
            <m:ctrlPr>
              <w:rPr>
                <w:rFonts w:ascii="Cambria Math" w:hAnsi="Cambria Math" w:cs="仿宋"/>
                <w:i/>
                <w:sz w:val="28"/>
                <w:szCs w:val="32"/>
              </w:rPr>
            </m:ctrlPr>
          </m:e>
        </m:d>
      </m:oMath>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 w:eastAsia="仿宋_GB2312" w:cs="仿宋"/>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 xml:space="preserve">    第九条 </w:t>
      </w:r>
      <w:r>
        <w:rPr>
          <w:rFonts w:hint="eastAsia" w:ascii="仿宋_GB2312" w:hAnsi="仿宋" w:eastAsia="仿宋_GB2312" w:cs="仿宋"/>
          <w:sz w:val="32"/>
          <w:szCs w:val="32"/>
          <w:highlight w:val="none"/>
        </w:rPr>
        <w:t>课程考核</w:t>
      </w:r>
      <w:r>
        <w:rPr>
          <w:rFonts w:hint="eastAsia" w:ascii="仿宋_GB2312" w:hAnsi="仿宋" w:eastAsia="仿宋_GB2312" w:cs="仿宋"/>
          <w:sz w:val="32"/>
          <w:szCs w:val="32"/>
          <w:highlight w:val="none"/>
          <w:lang w:val="en-US" w:eastAsia="zh-CN"/>
        </w:rPr>
        <w:t>成绩计分标准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lang w:val="en-US" w:eastAsia="zh-CN"/>
        </w:rPr>
        <w:t>课程考核成绩</w:t>
      </w:r>
      <w:r>
        <w:rPr>
          <w:rFonts w:hint="eastAsia" w:ascii="仿宋_GB2312" w:hAnsi="仿宋" w:eastAsia="仿宋_GB2312" w:cs="仿宋"/>
          <w:sz w:val="32"/>
          <w:szCs w:val="32"/>
          <w:highlight w:val="none"/>
        </w:rPr>
        <w:t>由研究生培养方案中学位课和非学位课程成绩组成，权重及计算方法如下：</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center"/>
        <w:textAlignment w:val="auto"/>
        <w:rPr>
          <w:rFonts w:hint="eastAsia" w:ascii="仿宋" w:hAnsi="仿宋" w:eastAsia="仿宋" w:cs="仿宋"/>
          <w:position w:val="-32"/>
          <w:sz w:val="24"/>
          <w:highlight w:val="none"/>
        </w:rPr>
      </w:pPr>
      <w:r>
        <w:rPr>
          <w:rFonts w:hint="eastAsia" w:ascii="仿宋" w:hAnsi="仿宋" w:eastAsia="仿宋" w:cs="仿宋"/>
          <w:position w:val="-32"/>
          <w:sz w:val="24"/>
          <w:highlight w:val="none"/>
        </w:rPr>
        <w:object>
          <v:shape id="_x0000_i1025" o:spt="75" type="#_x0000_t75" style="height:41.75pt;width:155.8pt;" o:ole="t" filled="f" o:preferrelative="t" stroked="f" coordsize="21600,21600">
            <v:path/>
            <v:fill on="f" focussize="0,0"/>
            <v:stroke on="f"/>
            <v:imagedata r:id="rId6" o:title=""/>
            <o:lock v:ext="edit" aspectratio="f"/>
            <w10:wrap type="none"/>
            <w10:anchorlock/>
          </v:shape>
          <o:OLEObject Type="Embed" ProgID="Equation.DSMT4" ShapeID="_x0000_i1025" DrawAspect="Content" ObjectID="_1468075725" r:id="rId5">
            <o:LockedField>false</o:LockedField>
          </o:OLEObject>
        </w:objec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rPr>
        <w:t>其中，B为课程考核</w:t>
      </w:r>
      <w:r>
        <w:rPr>
          <w:rFonts w:hint="eastAsia" w:ascii="仿宋_GB2312" w:hAnsi="仿宋" w:eastAsia="仿宋_GB2312" w:cs="仿宋"/>
          <w:sz w:val="32"/>
          <w:szCs w:val="32"/>
          <w:highlight w:val="none"/>
          <w:lang w:val="en-US" w:eastAsia="zh-CN"/>
        </w:rPr>
        <w:t>成绩</w:t>
      </w:r>
      <w:r>
        <w:rPr>
          <w:rFonts w:hint="eastAsia" w:ascii="仿宋_GB2312" w:hAnsi="仿宋" w:eastAsia="仿宋_GB2312" w:cs="仿宋"/>
          <w:sz w:val="32"/>
          <w:szCs w:val="32"/>
          <w:highlight w:val="none"/>
        </w:rPr>
        <w:t>，S1为学位课（含必修课）成绩，N1为对应的课程学分，S2为非学位课成绩，N2为对应的课程学分。成绩按百分制计算。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仿宋"/>
          <w:sz w:val="32"/>
          <w:szCs w:val="32"/>
          <w:highlight w:val="none"/>
          <w:lang w:val="en-US" w:eastAsia="zh-CN"/>
        </w:rPr>
      </w:pPr>
      <w:r>
        <w:rPr>
          <w:rFonts w:hint="eastAsia" w:ascii="仿宋_GB2312" w:hAnsi="仿宋" w:eastAsia="仿宋_GB2312" w:cs="仿宋"/>
          <w:sz w:val="32"/>
          <w:szCs w:val="32"/>
          <w:highlight w:val="none"/>
          <w:lang w:val="en-US" w:eastAsia="zh-CN"/>
        </w:rPr>
        <w:t>第十条  学术科研</w:t>
      </w:r>
      <w:r>
        <w:rPr>
          <w:rFonts w:hint="eastAsia" w:ascii="仿宋_GB2312" w:hAnsi="仿宋" w:eastAsia="仿宋_GB2312" w:cs="仿宋"/>
          <w:sz w:val="32"/>
          <w:szCs w:val="32"/>
          <w:highlight w:val="none"/>
        </w:rPr>
        <w:t>成果</w:t>
      </w:r>
      <w:r>
        <w:rPr>
          <w:rFonts w:hint="eastAsia" w:ascii="仿宋_GB2312" w:hAnsi="仿宋" w:eastAsia="仿宋_GB2312" w:cs="仿宋"/>
          <w:sz w:val="32"/>
          <w:szCs w:val="32"/>
          <w:highlight w:val="none"/>
          <w:lang w:val="en-US" w:eastAsia="zh-CN"/>
        </w:rPr>
        <w:t>要求及计分标准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lang w:val="en-US" w:eastAsia="zh-CN"/>
        </w:rPr>
      </w:pPr>
      <w:r>
        <w:rPr>
          <w:rFonts w:hint="eastAsia" w:ascii="仿宋_GB2312" w:hAnsi="仿宋" w:eastAsia="仿宋_GB2312" w:cs="仿宋"/>
          <w:sz w:val="32"/>
          <w:szCs w:val="32"/>
          <w:highlight w:val="none"/>
          <w:lang w:val="en-US" w:eastAsia="zh-CN"/>
        </w:rPr>
        <w:t>1.学术科研</w:t>
      </w:r>
      <w:r>
        <w:rPr>
          <w:rFonts w:hint="eastAsia" w:ascii="仿宋_GB2312" w:hAnsi="仿宋" w:eastAsia="仿宋_GB2312" w:cs="仿宋"/>
          <w:sz w:val="32"/>
          <w:szCs w:val="32"/>
          <w:highlight w:val="none"/>
        </w:rPr>
        <w:t>成果</w:t>
      </w:r>
      <w:r>
        <w:rPr>
          <w:rFonts w:hint="eastAsia" w:ascii="仿宋_GB2312" w:hAnsi="仿宋" w:eastAsia="仿宋_GB2312" w:cs="仿宋"/>
          <w:sz w:val="32"/>
          <w:szCs w:val="32"/>
          <w:highlight w:val="none"/>
          <w:lang w:val="en-US" w:eastAsia="zh-CN"/>
        </w:rPr>
        <w:t>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lang w:eastAsia="zh-CN"/>
        </w:rPr>
      </w:pPr>
      <w:r>
        <w:rPr>
          <w:rFonts w:hint="eastAsia" w:ascii="仿宋_GB2312" w:hAnsi="仿宋" w:eastAsia="仿宋_GB2312" w:cs="仿宋"/>
          <w:sz w:val="32"/>
          <w:szCs w:val="32"/>
          <w:highlight w:val="none"/>
          <w:lang w:val="en-US" w:eastAsia="zh-CN"/>
        </w:rPr>
        <w:t>（1）</w:t>
      </w:r>
      <w:r>
        <w:rPr>
          <w:rFonts w:hint="eastAsia" w:ascii="仿宋_GB2312" w:hAnsi="仿宋" w:eastAsia="仿宋_GB2312" w:cs="仿宋"/>
          <w:sz w:val="32"/>
          <w:szCs w:val="32"/>
          <w:highlight w:val="none"/>
        </w:rPr>
        <w:t>所有成果第一完成单位须为贵州大学，</w:t>
      </w:r>
      <w:r>
        <w:rPr>
          <w:rFonts w:hint="eastAsia" w:ascii="仿宋_GB2312" w:hAnsi="仿宋" w:eastAsia="仿宋_GB2312" w:cs="仿宋"/>
          <w:sz w:val="32"/>
          <w:szCs w:val="32"/>
          <w:lang w:val="en-US" w:eastAsia="zh-CN"/>
        </w:rPr>
        <w:t>人文社科类学科，导师一作学生二作视同学生第一作者；自然科学类学科，学生须为一作；作者第一单位均须为贵州大学。除Cell Nature Science</w:t>
      </w:r>
      <w:r>
        <w:rPr>
          <w:rFonts w:hint="eastAsia" w:ascii="仿宋_GB2312" w:hAnsi="仿宋" w:eastAsia="仿宋_GB2312" w:cs="仿宋"/>
          <w:sz w:val="32"/>
          <w:szCs w:val="32"/>
          <w:highlight w:val="none"/>
          <w:lang w:val="en-US" w:eastAsia="zh-CN"/>
        </w:rPr>
        <w:t>（简称“CNS”）</w:t>
      </w:r>
      <w:r>
        <w:rPr>
          <w:rFonts w:hint="eastAsia" w:ascii="仿宋_GB2312" w:hAnsi="仿宋" w:eastAsia="仿宋_GB2312" w:cs="仿宋"/>
          <w:sz w:val="32"/>
          <w:szCs w:val="32"/>
          <w:lang w:val="en-US" w:eastAsia="zh-CN"/>
        </w:rPr>
        <w:t>外，不认可排名不是第一的共同第一作者。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lang w:val="en-US" w:eastAsia="zh-CN"/>
        </w:rPr>
        <w:t>（2）</w:t>
      </w:r>
      <w:r>
        <w:rPr>
          <w:rFonts w:hint="eastAsia" w:ascii="仿宋_GB2312" w:hAnsi="仿宋" w:eastAsia="仿宋_GB2312" w:cs="仿宋"/>
          <w:sz w:val="32"/>
          <w:szCs w:val="32"/>
          <w:highlight w:val="none"/>
        </w:rPr>
        <w:t>成果须是</w:t>
      </w:r>
      <w:r>
        <w:rPr>
          <w:rFonts w:hint="eastAsia" w:ascii="仿宋_GB2312" w:hAnsi="仿宋" w:eastAsia="仿宋_GB2312" w:cs="仿宋"/>
          <w:sz w:val="32"/>
          <w:szCs w:val="32"/>
          <w:highlight w:val="none"/>
          <w:lang w:val="en-US" w:eastAsia="zh-CN"/>
        </w:rPr>
        <w:t>国家</w:t>
      </w:r>
      <w:r>
        <w:rPr>
          <w:rFonts w:hint="eastAsia" w:ascii="仿宋_GB2312" w:hAnsi="仿宋" w:eastAsia="仿宋_GB2312" w:cs="仿宋"/>
          <w:sz w:val="32"/>
          <w:szCs w:val="32"/>
          <w:highlight w:val="none"/>
        </w:rPr>
        <w:t>奖学金评定时间范围内完成</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rPr>
        <w:t>所发表的期刊以正式出版的时间为准，既能在中国知网、Ei Compendex工程索引、“Web of Science（SCIE）数据库等指定的网站检索到，又必须在规定的时间出版。</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lang w:val="en-US" w:eastAsia="zh-CN"/>
        </w:rPr>
        <w:t>（3）</w:t>
      </w:r>
      <w:r>
        <w:rPr>
          <w:rFonts w:hint="eastAsia" w:ascii="仿宋_GB2312" w:hAnsi="仿宋" w:eastAsia="仿宋_GB2312" w:cs="仿宋"/>
          <w:sz w:val="32"/>
          <w:szCs w:val="32"/>
          <w:highlight w:val="none"/>
        </w:rPr>
        <w:t>所有成果在各类奖学金评定中不能重复使用。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highlight w:val="none"/>
          <w:lang w:val="en-US" w:eastAsia="zh-CN"/>
        </w:rPr>
        <w:t>（4）</w:t>
      </w:r>
      <w:r>
        <w:rPr>
          <w:rFonts w:hint="eastAsia" w:ascii="仿宋_GB2312" w:hAnsi="仿宋" w:eastAsia="仿宋_GB2312" w:cs="仿宋"/>
          <w:sz w:val="32"/>
          <w:szCs w:val="32"/>
        </w:rPr>
        <w:t>中文期刊类型认定方法</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请参评</w:t>
      </w:r>
      <w:r>
        <w:rPr>
          <w:rFonts w:hint="eastAsia" w:ascii="仿宋_GB2312" w:hAnsi="仿宋" w:eastAsia="仿宋_GB2312" w:cs="仿宋"/>
          <w:sz w:val="32"/>
          <w:szCs w:val="32"/>
          <w:lang w:val="en-US" w:eastAsia="zh-CN"/>
        </w:rPr>
        <w:t>博士</w:t>
      </w:r>
      <w:r>
        <w:rPr>
          <w:rFonts w:hint="eastAsia" w:ascii="仿宋_GB2312" w:hAnsi="仿宋" w:eastAsia="仿宋_GB2312" w:cs="仿宋"/>
          <w:sz w:val="32"/>
          <w:szCs w:val="32"/>
        </w:rPr>
        <w:t>研究生自行打印本人论文在“中国知网”上的期刊信息，由培养单位审核并加盖公章。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b/>
          <w:bCs/>
          <w:sz w:val="32"/>
          <w:szCs w:val="32"/>
        </w:rPr>
      </w:pPr>
      <w:r>
        <w:rPr>
          <w:rFonts w:hint="eastAsia" w:ascii="仿宋_GB2312" w:hAnsi="仿宋" w:eastAsia="仿宋_GB2312" w:cs="仿宋"/>
          <w:sz w:val="32"/>
          <w:szCs w:val="32"/>
        </w:rPr>
        <w:t>外文期刊类型认定方法</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请参评研究生自行在校图书馆电子资源库“Ei Compendex工程索引”或“Web of Science（SCIE）数据库”中，检索出本次评定所用文章，明确标识研究生本人为第一作者（如为唯一通讯作者则第一作者应为该生导师）且贵州大学为第一作者单位，打印由培养单位审核并加盖公章。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lang w:val="en-US" w:eastAsia="zh-CN"/>
        </w:rPr>
      </w:pPr>
      <w:r>
        <w:rPr>
          <w:rFonts w:hint="eastAsia" w:ascii="仿宋_GB2312" w:hAnsi="仿宋" w:eastAsia="仿宋_GB2312" w:cs="仿宋"/>
          <w:sz w:val="32"/>
          <w:szCs w:val="32"/>
          <w:highlight w:val="none"/>
          <w:lang w:val="en-US" w:eastAsia="zh-CN"/>
        </w:rPr>
        <w:t>2.学术科研</w:t>
      </w:r>
      <w:r>
        <w:rPr>
          <w:rFonts w:hint="eastAsia" w:ascii="仿宋_GB2312" w:hAnsi="仿宋" w:eastAsia="仿宋_GB2312" w:cs="仿宋"/>
          <w:sz w:val="32"/>
          <w:szCs w:val="32"/>
          <w:highlight w:val="none"/>
        </w:rPr>
        <w:t>成果</w:t>
      </w:r>
      <w:r>
        <w:rPr>
          <w:rFonts w:hint="eastAsia" w:ascii="仿宋_GB2312" w:hAnsi="仿宋" w:eastAsia="仿宋_GB2312" w:cs="仿宋"/>
          <w:sz w:val="32"/>
          <w:szCs w:val="32"/>
          <w:highlight w:val="none"/>
          <w:lang w:val="en-US" w:eastAsia="zh-CN"/>
        </w:rPr>
        <w:t>计分标准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 w:eastAsia="仿宋_GB2312" w:cs="仿宋"/>
          <w:sz w:val="32"/>
          <w:szCs w:val="32"/>
          <w:highlight w:val="none"/>
          <w:lang w:val="en-US" w:eastAsia="zh-CN"/>
        </w:rPr>
      </w:pPr>
      <w:r>
        <w:rPr>
          <w:rFonts w:hint="eastAsia" w:ascii="仿宋_GB2312" w:hAnsi="仿宋" w:eastAsia="仿宋_GB2312" w:cs="仿宋"/>
          <w:sz w:val="32"/>
          <w:szCs w:val="32"/>
          <w:highlight w:val="none"/>
          <w:lang w:val="en-US" w:eastAsia="zh-CN"/>
        </w:rPr>
        <w:t xml:space="preserve">   学术科研成果包括学术论文、科研项目和专利、学科竞赛、学术交流四个部分，</w:t>
      </w:r>
      <w:r>
        <w:rPr>
          <w:rFonts w:hint="eastAsia" w:ascii="仿宋_GB2312" w:hAnsi="仿宋" w:eastAsia="仿宋_GB2312" w:cs="仿宋"/>
          <w:sz w:val="32"/>
          <w:szCs w:val="32"/>
          <w:lang w:val="en-US" w:eastAsia="zh-CN"/>
        </w:rPr>
        <w:t>计</w:t>
      </w:r>
      <w:r>
        <w:rPr>
          <w:rFonts w:hint="eastAsia" w:ascii="仿宋_GB2312" w:hAnsi="仿宋" w:eastAsia="仿宋_GB2312" w:cs="仿宋"/>
          <w:sz w:val="32"/>
          <w:szCs w:val="32"/>
          <w:lang w:eastAsia="zh-CN"/>
        </w:rPr>
        <w:t>分标准如下：</w:t>
      </w:r>
    </w:p>
    <w:p>
      <w:pPr>
        <w:spacing w:line="560" w:lineRule="exact"/>
        <w:ind w:firstLine="640" w:firstLineChars="200"/>
        <w:rPr>
          <w:rFonts w:hint="eastAsia" w:ascii="仿宋" w:hAnsi="仿宋" w:eastAsia="仿宋" w:cs="仿宋"/>
          <w:sz w:val="32"/>
          <w:szCs w:val="32"/>
        </w:rPr>
      </w:pPr>
      <w:r>
        <w:rPr>
          <w:rFonts w:hint="eastAsia" w:ascii="仿宋_GB2312" w:hAnsi="仿宋" w:eastAsia="仿宋_GB2312" w:cs="仿宋"/>
          <w:b w:val="0"/>
          <w:bCs w:val="0"/>
          <w:kern w:val="2"/>
          <w:sz w:val="32"/>
          <w:szCs w:val="32"/>
          <w:lang w:val="en-US" w:eastAsia="zh-CN" w:bidi="ar-SA"/>
        </w:rPr>
        <w:t>（1）</w:t>
      </w:r>
      <w:r>
        <w:rPr>
          <w:rFonts w:hint="eastAsia" w:ascii="仿宋" w:hAnsi="仿宋" w:eastAsia="仿宋" w:cs="仿宋"/>
          <w:sz w:val="32"/>
          <w:szCs w:val="32"/>
        </w:rPr>
        <w:t>学术论文</w:t>
      </w:r>
    </w:p>
    <w:tbl>
      <w:tblPr>
        <w:tblStyle w:val="7"/>
        <w:tblW w:w="867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81"/>
        <w:gridCol w:w="10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发表论文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IF&gt;10的Science，Nature，Cell三大刊子刊，自然指数期刊</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Science，Nature，Cell子刊，IF&gt;10期刊、顶级期刊</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一区期刊、领军期刊</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二区期刊、重点期刊</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三、四区期刊、梯队期刊、CSSCI普通期刊</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一本或多本专著，仅计分一次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r>
    </w:tbl>
    <w:p>
      <w:pPr>
        <w:spacing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备注：1.自然科学类期刊分区参考当年中科院SCI期刊大类分区（正式公布版本，不含试行版本）；</w:t>
      </w:r>
    </w:p>
    <w:p>
      <w:pPr>
        <w:spacing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2.人文社科类期刊分区参考《贵州大学人文社科类一流建设学科专用期刊分类表（最新版）》；</w:t>
      </w:r>
    </w:p>
    <w:p>
      <w:pPr>
        <w:spacing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3.领军期刊、重点期刊、梯队期刊是指《中国科技期刊卓越行动计划》入选期刊；</w:t>
      </w:r>
    </w:p>
    <w:p>
      <w:pPr>
        <w:spacing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4.同一期刊存在多种类型取分值高者；</w:t>
      </w:r>
    </w:p>
    <w:p>
      <w:pPr>
        <w:spacing w:line="560" w:lineRule="exact"/>
        <w:ind w:firstLine="560" w:firstLineChars="200"/>
        <w:jc w:val="left"/>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 xml:space="preserve">5.专著要是国内重点出版社或国外知名出版社出版，在版权页写明“著”，不能是“编”或“编著”。在作者介绍中须明确贵州大学。  </w:t>
      </w:r>
    </w:p>
    <w:p>
      <w:pPr>
        <w:spacing w:line="560" w:lineRule="exact"/>
        <w:ind w:firstLine="560" w:firstLineChars="200"/>
        <w:jc w:val="left"/>
        <w:rPr>
          <w:rFonts w:hint="eastAsia" w:ascii="仿宋_GB2312" w:hAnsi="仿宋" w:eastAsia="仿宋_GB2312" w:cs="仿宋"/>
          <w:sz w:val="32"/>
          <w:szCs w:val="32"/>
          <w:lang w:val="en-US" w:eastAsia="zh-CN"/>
        </w:rPr>
      </w:pPr>
      <w:r>
        <w:rPr>
          <w:rFonts w:hint="eastAsia" w:ascii="仿宋_GB2312" w:hAnsi="仿宋" w:eastAsia="仿宋_GB2312" w:cs="仿宋"/>
          <w:sz w:val="28"/>
          <w:szCs w:val="28"/>
          <w:lang w:val="en-US" w:eastAsia="zh-CN"/>
        </w:rPr>
        <w:t xml:space="preserve">6. 被SCI和SSCI共同收录的期刊，按SCI的分区认定。 </w:t>
      </w:r>
      <w:r>
        <w:rPr>
          <w:rFonts w:hint="eastAsia" w:ascii="仿宋_GB2312" w:hAnsi="仿宋" w:eastAsia="仿宋_GB2312" w:cs="仿宋"/>
          <w:sz w:val="32"/>
          <w:szCs w:val="32"/>
          <w:lang w:val="en-US" w:eastAsia="zh-CN"/>
        </w:rPr>
        <w:t xml:space="preserve">                                                                                            </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科研项目</w:t>
      </w:r>
      <w:r>
        <w:rPr>
          <w:rFonts w:hint="eastAsia" w:ascii="仿宋_GB2312" w:hAnsi="仿宋" w:eastAsia="仿宋_GB2312" w:cs="仿宋"/>
          <w:sz w:val="32"/>
          <w:szCs w:val="32"/>
          <w:lang w:val="en-US" w:eastAsia="zh-CN"/>
        </w:rPr>
        <w:t>和</w:t>
      </w:r>
      <w:r>
        <w:rPr>
          <w:rFonts w:hint="eastAsia" w:ascii="仿宋_GB2312" w:hAnsi="仿宋" w:eastAsia="仿宋_GB2312" w:cs="仿宋"/>
          <w:sz w:val="32"/>
          <w:szCs w:val="32"/>
        </w:rPr>
        <w:t>专利</w:t>
      </w:r>
    </w:p>
    <w:tbl>
      <w:tblPr>
        <w:tblStyle w:val="7"/>
        <w:tblW w:w="8557" w:type="dxa"/>
        <w:tblInd w:w="0" w:type="dxa"/>
        <w:tblLayout w:type="fixed"/>
        <w:tblCellMar>
          <w:top w:w="15" w:type="dxa"/>
          <w:left w:w="15" w:type="dxa"/>
          <w:bottom w:w="15" w:type="dxa"/>
          <w:right w:w="15" w:type="dxa"/>
        </w:tblCellMar>
      </w:tblPr>
      <w:tblGrid>
        <w:gridCol w:w="7462"/>
        <w:gridCol w:w="1095"/>
      </w:tblGrid>
      <w:tr>
        <w:tblPrEx>
          <w:tblCellMar>
            <w:top w:w="15" w:type="dxa"/>
            <w:left w:w="15" w:type="dxa"/>
            <w:bottom w:w="15" w:type="dxa"/>
            <w:right w:w="15" w:type="dxa"/>
          </w:tblCellMar>
        </w:tblPrEx>
        <w:trPr>
          <w:trHeight w:val="569"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专利和科研项目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分值</w:t>
            </w:r>
          </w:p>
        </w:tc>
      </w:tr>
      <w:tr>
        <w:tblPrEx>
          <w:tblCellMar>
            <w:top w:w="15" w:type="dxa"/>
            <w:left w:w="15" w:type="dxa"/>
            <w:bottom w:w="15" w:type="dxa"/>
            <w:right w:w="15" w:type="dxa"/>
          </w:tblCellMar>
        </w:tblPrEx>
        <w:trPr>
          <w:trHeight w:val="390"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主持国家自科基金面上项目或国家社科基金一般项目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160</w:t>
            </w:r>
          </w:p>
        </w:tc>
      </w:tr>
      <w:tr>
        <w:tblPrEx>
          <w:tblCellMar>
            <w:top w:w="15" w:type="dxa"/>
            <w:left w:w="15" w:type="dxa"/>
            <w:bottom w:w="15" w:type="dxa"/>
            <w:right w:w="15" w:type="dxa"/>
          </w:tblCellMar>
        </w:tblPrEx>
        <w:trPr>
          <w:trHeight w:val="968"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主持国家自科基金地区项目/青年基金项目，国家社科基金西部项目/青年项目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80</w:t>
            </w:r>
          </w:p>
          <w:p>
            <w:pPr>
              <w:widowControl/>
              <w:jc w:val="center"/>
              <w:textAlignment w:val="center"/>
              <w:rPr>
                <w:rFonts w:hint="default" w:ascii="仿宋" w:hAnsi="仿宋" w:eastAsia="仿宋" w:cs="仿宋"/>
                <w:color w:val="000000"/>
                <w:kern w:val="0"/>
                <w:sz w:val="28"/>
                <w:szCs w:val="28"/>
                <w:lang w:val="en-US" w:eastAsia="zh-CN" w:bidi="ar"/>
              </w:rPr>
            </w:pPr>
          </w:p>
        </w:tc>
      </w:tr>
      <w:tr>
        <w:tblPrEx>
          <w:tblCellMar>
            <w:top w:w="15" w:type="dxa"/>
            <w:left w:w="15" w:type="dxa"/>
            <w:bottom w:w="15" w:type="dxa"/>
            <w:right w:w="15" w:type="dxa"/>
          </w:tblCellMar>
        </w:tblPrEx>
        <w:trPr>
          <w:trHeight w:val="390"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主持省部级重大科研项目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40</w:t>
            </w:r>
          </w:p>
        </w:tc>
      </w:tr>
      <w:tr>
        <w:tblPrEx>
          <w:tblCellMar>
            <w:top w:w="15" w:type="dxa"/>
            <w:left w:w="15" w:type="dxa"/>
            <w:bottom w:w="15" w:type="dxa"/>
            <w:right w:w="15" w:type="dxa"/>
          </w:tblCellMar>
        </w:tblPrEx>
        <w:trPr>
          <w:trHeight w:val="390"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主持省部级一般项目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10</w:t>
            </w:r>
          </w:p>
        </w:tc>
      </w:tr>
      <w:tr>
        <w:tblPrEx>
          <w:tblCellMar>
            <w:top w:w="15" w:type="dxa"/>
            <w:left w:w="15" w:type="dxa"/>
            <w:bottom w:w="15" w:type="dxa"/>
            <w:right w:w="15" w:type="dxa"/>
          </w:tblCellMar>
        </w:tblPrEx>
        <w:trPr>
          <w:trHeight w:val="390"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lang w:bidi="ar"/>
              </w:rPr>
              <w:t>授权发明专利，仅计分一次</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lang w:bidi="ar"/>
              </w:rPr>
              <w:t>10</w:t>
            </w:r>
          </w:p>
        </w:tc>
      </w:tr>
    </w:tbl>
    <w:p>
      <w:pPr>
        <w:spacing w:line="560" w:lineRule="exact"/>
        <w:ind w:firstLine="560" w:firstLineChars="200"/>
        <w:jc w:val="left"/>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备注：1.科研项目主持单位须为贵州大学；</w:t>
      </w:r>
    </w:p>
    <w:p>
      <w:pPr>
        <w:numPr>
          <w:ilvl w:val="0"/>
          <w:numId w:val="0"/>
        </w:numPr>
        <w:spacing w:line="560" w:lineRule="exact"/>
        <w:ind w:firstLine="560" w:firstLineChars="200"/>
        <w:jc w:val="left"/>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2.授权发明专利仅限排名第1或导师第1学生第2。</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（3）学科</w:t>
      </w:r>
      <w:r>
        <w:rPr>
          <w:rFonts w:hint="eastAsia" w:ascii="仿宋_GB2312" w:hAnsi="仿宋" w:eastAsia="仿宋_GB2312" w:cs="仿宋"/>
          <w:sz w:val="32"/>
          <w:szCs w:val="32"/>
        </w:rPr>
        <w:t>竞赛</w:t>
      </w:r>
    </w:p>
    <w:tbl>
      <w:tblPr>
        <w:tblStyle w:val="7"/>
        <w:tblpPr w:leftFromText="180" w:rightFromText="180" w:vertAnchor="text" w:horzAnchor="page" w:tblpX="1906" w:tblpY="181"/>
        <w:tblOverlap w:val="never"/>
        <w:tblW w:w="8110" w:type="dxa"/>
        <w:tblInd w:w="0" w:type="dxa"/>
        <w:tblLayout w:type="fixed"/>
        <w:tblCellMar>
          <w:top w:w="15" w:type="dxa"/>
          <w:left w:w="15" w:type="dxa"/>
          <w:bottom w:w="15" w:type="dxa"/>
          <w:right w:w="15" w:type="dxa"/>
        </w:tblCellMar>
      </w:tblPr>
      <w:tblGrid>
        <w:gridCol w:w="1830"/>
        <w:gridCol w:w="2110"/>
        <w:gridCol w:w="2092"/>
        <w:gridCol w:w="2078"/>
      </w:tblGrid>
      <w:tr>
        <w:tblPrEx>
          <w:tblCellMar>
            <w:top w:w="15" w:type="dxa"/>
            <w:left w:w="15" w:type="dxa"/>
            <w:bottom w:w="15" w:type="dxa"/>
            <w:right w:w="15" w:type="dxa"/>
          </w:tblCellMar>
        </w:tblPrEx>
        <w:trPr>
          <w:trHeight w:val="390" w:hRule="atLeast"/>
        </w:trPr>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b/>
                <w:color w:val="000000"/>
                <w:sz w:val="28"/>
                <w:szCs w:val="28"/>
              </w:rPr>
            </w:pPr>
            <w:r>
              <w:rPr>
                <w:rFonts w:hint="eastAsia" w:ascii="仿宋" w:hAnsi="仿宋" w:eastAsia="仿宋" w:cs="仿宋"/>
                <w:b w:val="0"/>
                <w:bCs/>
                <w:color w:val="000000"/>
                <w:kern w:val="0"/>
                <w:sz w:val="28"/>
                <w:szCs w:val="28"/>
                <w:lang w:bidi="ar"/>
              </w:rPr>
              <w:t>等次</w:t>
            </w:r>
          </w:p>
        </w:tc>
        <w:tc>
          <w:tcPr>
            <w:tcW w:w="21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团队排名第一</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团队排名第二</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团队排名第三</w:t>
            </w:r>
          </w:p>
        </w:tc>
      </w:tr>
      <w:tr>
        <w:tblPrEx>
          <w:tblCellMar>
            <w:top w:w="15" w:type="dxa"/>
            <w:left w:w="15" w:type="dxa"/>
            <w:bottom w:w="15" w:type="dxa"/>
            <w:right w:w="15" w:type="dxa"/>
          </w:tblCellMar>
        </w:tblPrEx>
        <w:trPr>
          <w:trHeight w:val="390" w:hRule="atLeast"/>
        </w:trPr>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国赛一等奖</w:t>
            </w:r>
          </w:p>
        </w:tc>
        <w:tc>
          <w:tcPr>
            <w:tcW w:w="21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rPr>
            </w:pPr>
            <w:r>
              <w:rPr>
                <w:rFonts w:hint="eastAsia" w:ascii="仿宋" w:hAnsi="仿宋" w:eastAsia="仿宋" w:cs="仿宋"/>
                <w:color w:val="000000"/>
                <w:kern w:val="0"/>
                <w:sz w:val="28"/>
                <w:szCs w:val="28"/>
                <w:lang w:val="en-US" w:eastAsia="zh-CN" w:bidi="ar"/>
              </w:rPr>
              <w:t>80</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60</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40</w:t>
            </w:r>
          </w:p>
        </w:tc>
      </w:tr>
      <w:tr>
        <w:tblPrEx>
          <w:tblCellMar>
            <w:top w:w="15" w:type="dxa"/>
            <w:left w:w="15" w:type="dxa"/>
            <w:bottom w:w="15" w:type="dxa"/>
            <w:right w:w="15" w:type="dxa"/>
          </w:tblCellMar>
        </w:tblPrEx>
        <w:trPr>
          <w:trHeight w:val="390" w:hRule="atLeast"/>
        </w:trPr>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国赛二等奖</w:t>
            </w:r>
          </w:p>
        </w:tc>
        <w:tc>
          <w:tcPr>
            <w:tcW w:w="21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40</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30</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20</w:t>
            </w:r>
          </w:p>
        </w:tc>
      </w:tr>
      <w:tr>
        <w:tblPrEx>
          <w:tblCellMar>
            <w:top w:w="15" w:type="dxa"/>
            <w:left w:w="15" w:type="dxa"/>
            <w:bottom w:w="15" w:type="dxa"/>
            <w:right w:w="15" w:type="dxa"/>
          </w:tblCellMar>
        </w:tblPrEx>
        <w:trPr>
          <w:trHeight w:val="390" w:hRule="atLeast"/>
        </w:trPr>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国赛三等奖</w:t>
            </w:r>
          </w:p>
        </w:tc>
        <w:tc>
          <w:tcPr>
            <w:tcW w:w="21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20</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10</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bidi="ar"/>
              </w:rPr>
              <w:t>5</w:t>
            </w:r>
          </w:p>
        </w:tc>
      </w:tr>
    </w:tbl>
    <w:p>
      <w:pPr>
        <w:numPr>
          <w:ilvl w:val="0"/>
          <w:numId w:val="0"/>
        </w:numPr>
        <w:spacing w:line="560" w:lineRule="exact"/>
        <w:jc w:val="left"/>
        <w:rPr>
          <w:rFonts w:hint="default"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备注：同一项目参赛获得不同奖项的，只加一次分。同一项目只按获得的最高级别的奖项加分。</w:t>
      </w:r>
    </w:p>
    <w:p>
      <w:pPr>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（4）学术交流</w:t>
      </w:r>
    </w:p>
    <w:tbl>
      <w:tblPr>
        <w:tblStyle w:val="7"/>
        <w:tblW w:w="882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42"/>
        <w:gridCol w:w="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项目名称</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参加高水平国际学术会议并做大会报告</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参加高水平国际学术会议并做分组报告</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参加一级学会主办的高水平国内学术会议并做大会报告</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参加一级学会主办的高水平国内学术会议并做分组报告</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参加本学科（专业）认可的高水平国内外学术会议，仅计分一次</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国外知名高水平大学访学</w:t>
            </w:r>
            <w:r>
              <w:rPr>
                <w:rStyle w:val="12"/>
                <w:rFonts w:hint="eastAsia" w:ascii="仿宋" w:hAnsi="仿宋" w:eastAsia="仿宋" w:cs="仿宋"/>
                <w:sz w:val="28"/>
                <w:szCs w:val="28"/>
                <w:lang w:val="en-US" w:eastAsia="zh-CN" w:bidi="ar"/>
              </w:rPr>
              <w:t>3</w:t>
            </w:r>
            <w:r>
              <w:rPr>
                <w:rStyle w:val="13"/>
                <w:rFonts w:hint="eastAsia" w:ascii="仿宋" w:hAnsi="仿宋" w:eastAsia="仿宋" w:cs="仿宋"/>
                <w:sz w:val="28"/>
                <w:szCs w:val="28"/>
                <w:lang w:val="en-US" w:eastAsia="zh-CN" w:bidi="ar"/>
              </w:rPr>
              <w:t>个月及以上，仅计分一次</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w:t>
            </w:r>
          </w:p>
        </w:tc>
      </w:tr>
    </w:tbl>
    <w:p>
      <w:pPr>
        <w:spacing w:line="560" w:lineRule="exact"/>
        <w:ind w:firstLine="640" w:firstLineChars="200"/>
        <w:rPr>
          <w:rFonts w:hint="eastAsia" w:ascii="仿宋" w:hAnsi="仿宋" w:eastAsia="仿宋" w:cs="仿宋"/>
          <w:sz w:val="24"/>
        </w:rPr>
      </w:pPr>
      <w:r>
        <w:rPr>
          <w:rFonts w:hint="eastAsia" w:ascii="仿宋_GB2312" w:hAnsi="仿宋" w:eastAsia="仿宋_GB2312" w:cs="仿宋"/>
          <w:b w:val="0"/>
          <w:bCs w:val="0"/>
          <w:kern w:val="2"/>
          <w:sz w:val="32"/>
          <w:szCs w:val="32"/>
          <w:lang w:val="en-US" w:eastAsia="zh-CN" w:bidi="ar-SA"/>
        </w:rPr>
        <w:t>第十一条 智育分</w:t>
      </w:r>
      <w:r>
        <w:rPr>
          <w:rFonts w:hint="eastAsia" w:ascii="仿宋_GB2312" w:hAnsi="仿宋" w:eastAsia="仿宋_GB2312" w:cs="仿宋"/>
          <w:sz w:val="32"/>
          <w:szCs w:val="32"/>
        </w:rPr>
        <w:t>百分制成绩转化公式：</w:t>
      </w:r>
    </w:p>
    <w:p>
      <w:pPr>
        <w:keepNext w:val="0"/>
        <w:keepLines w:val="0"/>
        <w:pageBreakBefore w:val="0"/>
        <w:widowControl w:val="0"/>
        <w:kinsoku/>
        <w:wordWrap/>
        <w:overflowPunct/>
        <w:topLinePunct w:val="0"/>
        <w:autoSpaceDE/>
        <w:autoSpaceDN/>
        <w:bidi w:val="0"/>
        <w:adjustRightInd/>
        <w:snapToGrid/>
        <w:spacing w:line="900" w:lineRule="exact"/>
        <w:ind w:firstLine="560" w:firstLineChars="200"/>
        <w:textAlignment w:val="auto"/>
        <w:rPr>
          <w:rFonts w:hint="eastAsia" w:ascii="仿宋" w:hAnsi="仿宋" w:eastAsia="仿宋" w:cs="仿宋"/>
          <w:i w:val="0"/>
          <w:iCs/>
          <w:sz w:val="28"/>
          <w:szCs w:val="28"/>
          <w:lang w:val="en-US" w:eastAsia="zh-CN"/>
        </w:rPr>
      </w:pPr>
      <m:oMath>
        <m:r>
          <m:rPr>
            <m:sty m:val="p"/>
          </m:rPr>
          <w:rPr>
            <w:rFonts w:hint="eastAsia" w:ascii="Cambria Math" w:hAnsi="Cambria Math" w:eastAsia="仿宋" w:cs="仿宋"/>
            <w:sz w:val="28"/>
            <w:szCs w:val="28"/>
            <w:lang w:val="en-US" w:eastAsia="zh-CN"/>
          </w:rPr>
          <m:t>成绩</m:t>
        </m:r>
        <m:r>
          <m:rPr>
            <m:sty m:val="p"/>
          </m:rPr>
          <w:rPr>
            <w:rFonts w:hint="eastAsia" w:ascii="Cambria Math" w:hAnsi="Cambria Math" w:eastAsia="仿宋" w:cs="仿宋"/>
            <w:sz w:val="28"/>
            <w:szCs w:val="28"/>
          </w:rPr>
          <m:t>=</m:t>
        </m:r>
        <m:f>
          <m:fPr>
            <m:ctrlPr>
              <w:rPr>
                <w:rFonts w:hint="eastAsia" w:ascii="Cambria Math" w:hAnsi="Cambria Math" w:eastAsia="仿宋" w:cs="仿宋"/>
                <w:i w:val="0"/>
                <w:iCs/>
                <w:sz w:val="28"/>
                <w:szCs w:val="28"/>
              </w:rPr>
            </m:ctrlPr>
          </m:fPr>
          <m:num>
            <m:r>
              <m:rPr>
                <m:sty m:val="p"/>
              </m:rPr>
              <w:rPr>
                <w:rFonts w:hint="eastAsia" w:ascii="Cambria Math" w:hAnsi="Cambria Math" w:eastAsia="仿宋" w:cs="仿宋"/>
                <w:sz w:val="28"/>
                <w:szCs w:val="28"/>
                <w:lang w:val="en-US" w:eastAsia="zh-CN"/>
              </w:rPr>
              <m:t>参评成绩</m:t>
            </m:r>
            <m:ctrlPr>
              <w:rPr>
                <w:rFonts w:hint="eastAsia" w:ascii="Cambria Math" w:hAnsi="Cambria Math" w:eastAsia="仿宋" w:cs="仿宋"/>
                <w:i w:val="0"/>
                <w:iCs/>
                <w:sz w:val="28"/>
                <w:szCs w:val="28"/>
              </w:rPr>
            </m:ctrlPr>
          </m:num>
          <m:den>
            <m:r>
              <m:rPr>
                <m:sty m:val="p"/>
              </m:rPr>
              <w:rPr>
                <w:rFonts w:hint="eastAsia" w:ascii="Cambria Math" w:hAnsi="Cambria Math" w:eastAsia="仿宋" w:cs="仿宋"/>
                <w:sz w:val="28"/>
                <w:szCs w:val="28"/>
                <w:lang w:val="en-US" w:eastAsia="zh-CN"/>
              </w:rPr>
              <m:t xml:space="preserve">参评成绩最大值     </m:t>
            </m:r>
            <m:ctrlPr>
              <w:rPr>
                <w:rFonts w:hint="eastAsia" w:ascii="Cambria Math" w:hAnsi="Cambria Math" w:eastAsia="仿宋" w:cs="仿宋"/>
                <w:i w:val="0"/>
                <w:iCs/>
                <w:sz w:val="28"/>
                <w:szCs w:val="28"/>
                <w:lang w:val="en-US" w:eastAsia="zh-CN"/>
              </w:rPr>
            </m:ctrlPr>
          </m:den>
        </m:f>
      </m:oMath>
      <w:r>
        <w:rPr>
          <w:rFonts w:hint="eastAsia" w:ascii="仿宋" w:hAnsi="仿宋" w:eastAsia="仿宋" w:cs="仿宋"/>
          <w:i w:val="0"/>
          <w:iCs/>
          <w:sz w:val="28"/>
          <w:szCs w:val="28"/>
          <w:lang w:val="en-US" w:eastAsia="zh-CN"/>
        </w:rPr>
        <w:t>*100</w:t>
      </w:r>
    </w:p>
    <w:p>
      <w:pPr>
        <w:rPr>
          <w:rFonts w:hint="default" w:ascii="仿宋_GB2312" w:hAnsi="仿宋" w:eastAsia="仿宋_GB2312" w:cs="仿宋"/>
          <w:b w:val="0"/>
          <w:bCs w:val="0"/>
          <w:kern w:val="2"/>
          <w:sz w:val="32"/>
          <w:szCs w:val="32"/>
          <w:lang w:val="en-US" w:eastAsia="zh-CN" w:bidi="ar-SA"/>
        </w:rPr>
      </w:pPr>
    </w:p>
    <w:p>
      <w:pPr>
        <w:numPr>
          <w:ilvl w:val="0"/>
          <w:numId w:val="0"/>
        </w:numPr>
        <w:spacing w:line="560" w:lineRule="exact"/>
        <w:ind w:left="3150" w:leftChars="0"/>
        <w:jc w:val="both"/>
        <w:rPr>
          <w:rFonts w:hint="eastAsia" w:ascii="黑体" w:hAnsi="黑体" w:eastAsia="黑体" w:cs="仿宋"/>
          <w:b/>
          <w:bCs/>
          <w:sz w:val="32"/>
          <w:szCs w:val="32"/>
        </w:rPr>
      </w:pPr>
      <w:r>
        <w:rPr>
          <w:rFonts w:hint="eastAsia" w:ascii="黑体" w:hAnsi="黑体" w:eastAsia="黑体" w:cs="仿宋"/>
          <w:b/>
          <w:bCs/>
          <w:sz w:val="32"/>
          <w:szCs w:val="32"/>
          <w:lang w:val="en-US" w:eastAsia="zh-CN"/>
        </w:rPr>
        <w:t>第五章 体育</w:t>
      </w:r>
      <w:r>
        <w:rPr>
          <w:rFonts w:hint="eastAsia" w:ascii="黑体" w:hAnsi="黑体" w:eastAsia="黑体" w:cs="仿宋"/>
          <w:b/>
          <w:bCs/>
          <w:sz w:val="32"/>
          <w:szCs w:val="32"/>
        </w:rPr>
        <w:t>测评分数</w:t>
      </w:r>
    </w:p>
    <w:p>
      <w:pPr>
        <w:widowControl w:val="0"/>
        <w:numPr>
          <w:ilvl w:val="0"/>
          <w:numId w:val="0"/>
        </w:numPr>
        <w:spacing w:line="560" w:lineRule="exact"/>
        <w:jc w:val="both"/>
        <w:rPr>
          <w:rFonts w:ascii="仿宋_GB2312" w:hAnsi="仿宋" w:eastAsia="仿宋_GB2312" w:cs="仿宋"/>
          <w:sz w:val="32"/>
          <w:szCs w:val="32"/>
        </w:rPr>
      </w:pPr>
      <w:r>
        <w:rPr>
          <w:rFonts w:hint="eastAsia" w:ascii="黑体" w:hAnsi="黑体" w:eastAsia="黑体" w:cs="仿宋"/>
          <w:b/>
          <w:bCs/>
          <w:sz w:val="32"/>
          <w:szCs w:val="32"/>
          <w:lang w:val="en-US" w:eastAsia="zh-CN"/>
        </w:rPr>
        <w:t xml:space="preserve">    </w:t>
      </w:r>
      <w:r>
        <w:rPr>
          <w:rFonts w:hint="eastAsia" w:ascii="仿宋_GB2312" w:hAnsi="仿宋" w:eastAsia="仿宋_GB2312" w:cs="仿宋"/>
          <w:sz w:val="32"/>
          <w:szCs w:val="32"/>
          <w:lang w:val="en-US" w:eastAsia="zh-CN"/>
        </w:rPr>
        <w:t>第十二条 体育分包括三个部分，</w:t>
      </w:r>
      <w:r>
        <w:rPr>
          <w:rFonts w:hint="eastAsia" w:ascii="仿宋_GB2312" w:hAnsi="仿宋" w:eastAsia="仿宋_GB2312" w:cs="仿宋"/>
          <w:sz w:val="32"/>
          <w:szCs w:val="32"/>
        </w:rPr>
        <w:t>即</w:t>
      </w:r>
      <w:r>
        <w:rPr>
          <w:rFonts w:hint="eastAsia" w:ascii="仿宋_GB2312" w:hAnsi="仿宋" w:eastAsia="仿宋_GB2312" w:cs="仿宋"/>
          <w:sz w:val="32"/>
          <w:szCs w:val="32"/>
          <w:lang w:val="en-US" w:eastAsia="zh-CN"/>
        </w:rPr>
        <w:t>体育</w:t>
      </w:r>
      <w:r>
        <w:rPr>
          <w:rFonts w:hint="eastAsia" w:ascii="仿宋_GB2312" w:hAnsi="仿宋" w:eastAsia="仿宋_GB2312" w:cs="仿宋"/>
          <w:sz w:val="32"/>
          <w:szCs w:val="32"/>
        </w:rPr>
        <w:t>分</w:t>
      </w:r>
      <w:r>
        <w:rPr>
          <w:rFonts w:hint="eastAsia" w:ascii="仿宋_GB2312" w:hAnsi="仿宋" w:eastAsia="仿宋_GB2312" w:cs="仿宋"/>
          <w:sz w:val="32"/>
          <w:szCs w:val="32"/>
          <w:lang w:val="en-US" w:eastAsia="zh-CN"/>
        </w:rPr>
        <w:t>=基础分70分+加分项-减分项。其中，加分项满分为30分，在实际评定过程中，若累计分数不超过30分，按实际分数计算；若累计分数超过30分，按如下公示转化成绩：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仿宋_GB2312" w:hAnsi="仿宋" w:eastAsia="仿宋_GB2312" w:cs="仿宋"/>
          <w:sz w:val="32"/>
          <w:szCs w:val="32"/>
        </w:rPr>
      </w:pPr>
      <m:oMathPara>
        <m:oMath>
          <m:r>
            <m:rPr>
              <m:sty m:val="p"/>
            </m:rPr>
            <w:rPr>
              <w:rFonts w:hint="eastAsia" w:ascii="Cambria Math" w:hAnsi="Cambria Math" w:eastAsia="仿宋" w:cs="仿宋"/>
              <w:sz w:val="28"/>
              <w:szCs w:val="28"/>
              <w:lang w:val="en-US" w:eastAsia="zh-CN"/>
            </w:rPr>
            <m:t>加分项</m:t>
          </m:r>
          <m:r>
            <m:rPr>
              <m:sty m:val="p"/>
            </m:rPr>
            <w:rPr>
              <w:rFonts w:hint="eastAsia" w:ascii="Cambria Math" w:hAnsi="Cambria Math" w:eastAsia="仿宋" w:cs="仿宋"/>
              <w:sz w:val="28"/>
              <w:szCs w:val="28"/>
              <w:lang w:val="en-US"/>
            </w:rPr>
            <m:t>=</m:t>
          </m:r>
          <m:f>
            <m:fPr>
              <m:ctrlPr>
                <w:rPr>
                  <w:rFonts w:hint="eastAsia" w:ascii="Cambria Math" w:hAnsi="Cambria Math" w:eastAsia="仿宋" w:cs="仿宋"/>
                  <w:i w:val="0"/>
                  <w:iCs w:val="0"/>
                  <w:sz w:val="28"/>
                  <w:szCs w:val="28"/>
                  <w:lang w:val="en-US"/>
                </w:rPr>
              </m:ctrlPr>
            </m:fPr>
            <m:num>
              <m:r>
                <m:rPr>
                  <m:sty m:val="p"/>
                </m:rPr>
                <w:rPr>
                  <w:rFonts w:hint="eastAsia" w:ascii="Cambria Math" w:hAnsi="Cambria Math" w:eastAsia="仿宋" w:cs="仿宋"/>
                  <w:sz w:val="28"/>
                  <w:szCs w:val="28"/>
                  <w:lang w:val="en-US" w:eastAsia="zh-CN"/>
                </w:rPr>
                <m:t>参评成绩</m:t>
              </m:r>
              <m:ctrlPr>
                <w:rPr>
                  <w:rFonts w:hint="eastAsia" w:ascii="Cambria Math" w:hAnsi="Cambria Math" w:eastAsia="仿宋" w:cs="仿宋"/>
                  <w:i w:val="0"/>
                  <w:iCs w:val="0"/>
                  <w:sz w:val="28"/>
                  <w:szCs w:val="28"/>
                  <w:lang w:val="en-US"/>
                </w:rPr>
              </m:ctrlPr>
            </m:num>
            <m:den>
              <m:r>
                <m:rPr>
                  <m:sty m:val="p"/>
                </m:rPr>
                <w:rPr>
                  <w:rFonts w:hint="eastAsia" w:ascii="Cambria Math" w:hAnsi="Cambria Math" w:eastAsia="仿宋" w:cs="仿宋"/>
                  <w:sz w:val="28"/>
                  <w:szCs w:val="28"/>
                  <w:lang w:val="en-US" w:eastAsia="zh-CN"/>
                </w:rPr>
                <m:t>参评成绩最大值</m:t>
              </m:r>
              <m:ctrlPr>
                <w:rPr>
                  <w:rFonts w:hint="eastAsia" w:ascii="Cambria Math" w:hAnsi="Cambria Math" w:eastAsia="仿宋" w:cs="仿宋"/>
                  <w:i w:val="0"/>
                  <w:iCs w:val="0"/>
                  <w:sz w:val="28"/>
                  <w:szCs w:val="28"/>
                  <w:lang w:val="en-US"/>
                </w:rPr>
              </m:ctrlPr>
            </m:den>
          </m:f>
          <m:r>
            <m:rPr>
              <m:sty m:val="p"/>
            </m:rPr>
            <w:rPr>
              <w:rFonts w:hint="eastAsia" w:ascii="Cambria Math" w:hAnsi="Cambria Math" w:eastAsia="仿宋" w:cs="仿宋"/>
              <w:sz w:val="28"/>
              <w:szCs w:val="28"/>
              <w:lang w:val="en-US" w:eastAsia="zh-CN"/>
            </w:rPr>
            <m:t>∗30分</m:t>
          </m:r>
        </m:oMath>
      </m:oMathPara>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第十三条 体育分主要有如下两部分组成：</w:t>
      </w:r>
    </w:p>
    <w:p>
      <w:pPr>
        <w:numPr>
          <w:ilvl w:val="0"/>
          <w:numId w:val="0"/>
        </w:numPr>
        <w:spacing w:before="156" w:beforeLines="50"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1.在国家、省市、学校举办的体育活动中，代表学校参加并获得奖项。计分标准如下：</w:t>
      </w:r>
    </w:p>
    <w:tbl>
      <w:tblPr>
        <w:tblStyle w:val="8"/>
        <w:tblW w:w="7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1"/>
        <w:gridCol w:w="1930"/>
        <w:gridCol w:w="2025"/>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861"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获奖级别</w:t>
            </w:r>
          </w:p>
        </w:tc>
        <w:tc>
          <w:tcPr>
            <w:tcW w:w="1930"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第一名</w:t>
            </w:r>
          </w:p>
        </w:tc>
        <w:tc>
          <w:tcPr>
            <w:tcW w:w="2025"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第二名</w:t>
            </w:r>
          </w:p>
        </w:tc>
        <w:tc>
          <w:tcPr>
            <w:tcW w:w="1886"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第三名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861"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国家级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30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25</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861"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省部级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15</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kern w:val="2"/>
                <w:sz w:val="28"/>
                <w:szCs w:val="28"/>
                <w:vertAlign w:val="baseline"/>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Align w:val="top"/>
          </w:tcPr>
          <w:p>
            <w:pPr>
              <w:numPr>
                <w:ilvl w:val="0"/>
                <w:numId w:val="0"/>
              </w:numPr>
              <w:spacing w:before="156" w:beforeLines="50" w:line="560" w:lineRule="exact"/>
              <w:ind w:left="0" w:leftChars="0" w:firstLine="0" w:firstLineChars="0"/>
              <w:jc w:val="center"/>
              <w:rPr>
                <w:rFonts w:hint="eastAsia"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市校级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10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8</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5</w:t>
            </w:r>
          </w:p>
        </w:tc>
      </w:tr>
    </w:tbl>
    <w:p>
      <w:pPr>
        <w:numPr>
          <w:ilvl w:val="0"/>
          <w:numId w:val="0"/>
        </w:numPr>
        <w:spacing w:line="560" w:lineRule="exact"/>
        <w:ind w:firstLine="560" w:firstLineChars="200"/>
        <w:jc w:val="left"/>
        <w:rPr>
          <w:rFonts w:hint="default"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同一项目参赛获得不同奖项的，只加一次分。同一项目只按获得的最高级别的奖项加分。团体比赛主要负责人分值按对应获奖项目应得分值计算，其余成员分值减半计算，若无负责人所有成员分值均减半计算。</w:t>
      </w:r>
    </w:p>
    <w:p>
      <w:pPr>
        <w:numPr>
          <w:ilvl w:val="0"/>
          <w:numId w:val="0"/>
        </w:numPr>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2.校级及以上体育类社团、俱乐部主要负责人加5分。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第十四条 有下列情形的酌情扣分</w:t>
      </w:r>
    </w:p>
    <w:p>
      <w:pPr>
        <w:numPr>
          <w:ilvl w:val="0"/>
          <w:numId w:val="0"/>
        </w:numPr>
        <w:spacing w:before="156" w:beforeLines="50"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凡无故不参加学校要求参加的体育活动者，每次扣2分，造成严重后果的扣3—5分。</w:t>
      </w:r>
    </w:p>
    <w:p>
      <w:pPr>
        <w:numPr>
          <w:ilvl w:val="0"/>
          <w:numId w:val="0"/>
        </w:numPr>
        <w:spacing w:line="560" w:lineRule="exact"/>
        <w:ind w:left="3150" w:leftChars="0"/>
        <w:jc w:val="both"/>
        <w:rPr>
          <w:rFonts w:hint="eastAsia" w:ascii="黑体" w:hAnsi="黑体" w:eastAsia="黑体" w:cs="仿宋"/>
          <w:b/>
          <w:bCs/>
          <w:sz w:val="32"/>
          <w:szCs w:val="32"/>
        </w:rPr>
      </w:pPr>
      <w:r>
        <w:rPr>
          <w:rFonts w:hint="eastAsia" w:ascii="黑体" w:hAnsi="黑体" w:eastAsia="黑体" w:cs="仿宋"/>
          <w:b/>
          <w:bCs/>
          <w:sz w:val="32"/>
          <w:szCs w:val="32"/>
          <w:lang w:val="en-US" w:eastAsia="zh-CN"/>
        </w:rPr>
        <w:t>第六章 美育</w:t>
      </w:r>
      <w:r>
        <w:rPr>
          <w:rFonts w:hint="eastAsia" w:ascii="黑体" w:hAnsi="黑体" w:eastAsia="黑体" w:cs="仿宋"/>
          <w:b/>
          <w:bCs/>
          <w:sz w:val="32"/>
          <w:szCs w:val="32"/>
        </w:rPr>
        <w:t>测评分数</w:t>
      </w:r>
    </w:p>
    <w:p>
      <w:pPr>
        <w:widowControl w:val="0"/>
        <w:numPr>
          <w:ilvl w:val="0"/>
          <w:numId w:val="0"/>
        </w:numPr>
        <w:spacing w:line="560" w:lineRule="exact"/>
        <w:jc w:val="both"/>
        <w:rPr>
          <w:rFonts w:ascii="仿宋_GB2312" w:hAnsi="仿宋" w:eastAsia="仿宋_GB2312" w:cs="仿宋"/>
          <w:sz w:val="32"/>
          <w:szCs w:val="32"/>
        </w:rPr>
      </w:pPr>
      <w:r>
        <w:rPr>
          <w:rFonts w:hint="eastAsia" w:ascii="黑体" w:hAnsi="黑体" w:eastAsia="黑体" w:cs="仿宋"/>
          <w:b/>
          <w:bCs/>
          <w:sz w:val="32"/>
          <w:szCs w:val="32"/>
          <w:lang w:val="en-US" w:eastAsia="zh-CN"/>
        </w:rPr>
        <w:t xml:space="preserve">   </w:t>
      </w:r>
      <w:r>
        <w:rPr>
          <w:rFonts w:hint="eastAsia" w:ascii="仿宋_GB2312" w:hAnsi="仿宋" w:eastAsia="仿宋_GB2312" w:cs="仿宋"/>
          <w:sz w:val="32"/>
          <w:szCs w:val="32"/>
          <w:lang w:val="en-US" w:eastAsia="zh-CN"/>
        </w:rPr>
        <w:t>第十五条 美育分包括三个部分，</w:t>
      </w:r>
      <w:r>
        <w:rPr>
          <w:rFonts w:hint="eastAsia" w:ascii="仿宋_GB2312" w:hAnsi="仿宋" w:eastAsia="仿宋_GB2312" w:cs="仿宋"/>
          <w:sz w:val="32"/>
          <w:szCs w:val="32"/>
        </w:rPr>
        <w:t>即</w:t>
      </w:r>
      <w:r>
        <w:rPr>
          <w:rFonts w:hint="eastAsia" w:ascii="仿宋_GB2312" w:hAnsi="仿宋" w:eastAsia="仿宋_GB2312" w:cs="仿宋"/>
          <w:sz w:val="32"/>
          <w:szCs w:val="32"/>
          <w:lang w:val="en-US" w:eastAsia="zh-CN"/>
        </w:rPr>
        <w:t>美育</w:t>
      </w:r>
      <w:r>
        <w:rPr>
          <w:rFonts w:hint="eastAsia" w:ascii="仿宋_GB2312" w:hAnsi="仿宋" w:eastAsia="仿宋_GB2312" w:cs="仿宋"/>
          <w:sz w:val="32"/>
          <w:szCs w:val="32"/>
        </w:rPr>
        <w:t>分</w:t>
      </w:r>
      <w:r>
        <w:rPr>
          <w:rFonts w:hint="eastAsia" w:ascii="仿宋_GB2312" w:hAnsi="仿宋" w:eastAsia="仿宋_GB2312" w:cs="仿宋"/>
          <w:sz w:val="32"/>
          <w:szCs w:val="32"/>
          <w:lang w:val="en-US" w:eastAsia="zh-CN"/>
        </w:rPr>
        <w:t>=基础分70分+加分项-减分项。其中，加分项满分为30分，在实际评定过程中，若累计分数不超过30分，按实际分数计算；若累计分数超过30分，按如下公示转化成绩：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仿宋_GB2312" w:hAnsi="仿宋" w:eastAsia="仿宋_GB2312" w:cs="仿宋"/>
          <w:sz w:val="32"/>
          <w:szCs w:val="32"/>
        </w:rPr>
      </w:pPr>
      <m:oMathPara>
        <m:oMath>
          <m:r>
            <m:rPr>
              <m:sty m:val="p"/>
            </m:rPr>
            <w:rPr>
              <w:rFonts w:hint="eastAsia" w:ascii="Cambria Math" w:hAnsi="Cambria Math" w:eastAsia="仿宋" w:cs="仿宋"/>
              <w:sz w:val="28"/>
              <w:szCs w:val="28"/>
              <w:lang w:val="en-US" w:eastAsia="zh-CN"/>
            </w:rPr>
            <m:t>加分项</m:t>
          </m:r>
          <m:r>
            <m:rPr>
              <m:sty m:val="p"/>
            </m:rPr>
            <w:rPr>
              <w:rFonts w:hint="eastAsia" w:ascii="Cambria Math" w:hAnsi="Cambria Math" w:eastAsia="仿宋" w:cs="仿宋"/>
              <w:sz w:val="28"/>
              <w:szCs w:val="28"/>
              <w:lang w:val="en-US"/>
            </w:rPr>
            <m:t>=</m:t>
          </m:r>
          <m:f>
            <m:fPr>
              <m:ctrlPr>
                <w:rPr>
                  <w:rFonts w:hint="eastAsia" w:ascii="Cambria Math" w:hAnsi="Cambria Math" w:eastAsia="仿宋" w:cs="仿宋"/>
                  <w:i w:val="0"/>
                  <w:iCs w:val="0"/>
                  <w:sz w:val="28"/>
                  <w:szCs w:val="28"/>
                  <w:lang w:val="en-US"/>
                </w:rPr>
              </m:ctrlPr>
            </m:fPr>
            <m:num>
              <m:r>
                <m:rPr>
                  <m:sty m:val="p"/>
                </m:rPr>
                <w:rPr>
                  <w:rFonts w:hint="eastAsia" w:ascii="Cambria Math" w:hAnsi="Cambria Math" w:eastAsia="仿宋" w:cs="仿宋"/>
                  <w:sz w:val="28"/>
                  <w:szCs w:val="28"/>
                  <w:lang w:val="en-US" w:eastAsia="zh-CN"/>
                </w:rPr>
                <m:t>参评成绩</m:t>
              </m:r>
              <m:ctrlPr>
                <w:rPr>
                  <w:rFonts w:hint="eastAsia" w:ascii="Cambria Math" w:hAnsi="Cambria Math" w:eastAsia="仿宋" w:cs="仿宋"/>
                  <w:i w:val="0"/>
                  <w:iCs w:val="0"/>
                  <w:sz w:val="28"/>
                  <w:szCs w:val="28"/>
                  <w:lang w:val="en-US"/>
                </w:rPr>
              </m:ctrlPr>
            </m:num>
            <m:den>
              <m:r>
                <m:rPr>
                  <m:sty m:val="p"/>
                </m:rPr>
                <w:rPr>
                  <w:rFonts w:hint="eastAsia" w:ascii="Cambria Math" w:hAnsi="Cambria Math" w:eastAsia="仿宋" w:cs="仿宋"/>
                  <w:sz w:val="28"/>
                  <w:szCs w:val="28"/>
                  <w:lang w:val="en-US" w:eastAsia="zh-CN"/>
                </w:rPr>
                <m:t>参评成绩最大值</m:t>
              </m:r>
              <m:ctrlPr>
                <w:rPr>
                  <w:rFonts w:hint="eastAsia" w:ascii="Cambria Math" w:hAnsi="Cambria Math" w:eastAsia="仿宋" w:cs="仿宋"/>
                  <w:i w:val="0"/>
                  <w:iCs w:val="0"/>
                  <w:sz w:val="28"/>
                  <w:szCs w:val="28"/>
                  <w:lang w:val="en-US"/>
                </w:rPr>
              </m:ctrlPr>
            </m:den>
          </m:f>
          <m:r>
            <m:rPr>
              <m:sty m:val="p"/>
            </m:rPr>
            <w:rPr>
              <w:rFonts w:hint="eastAsia" w:ascii="Cambria Math" w:hAnsi="Cambria Math" w:eastAsia="仿宋" w:cs="仿宋"/>
              <w:sz w:val="28"/>
              <w:szCs w:val="28"/>
              <w:lang w:val="en-US" w:eastAsia="zh-CN"/>
            </w:rPr>
            <m:t>∗30分</m:t>
          </m:r>
        </m:oMath>
      </m:oMathPara>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第十六条 美育分主要主要有如下两部分组成：</w:t>
      </w:r>
    </w:p>
    <w:p>
      <w:pPr>
        <w:numPr>
          <w:ilvl w:val="0"/>
          <w:numId w:val="0"/>
        </w:numPr>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1.在国家、省市、学校举行的文艺活动中，代表学校参加并获得奖项。计分标准如下：</w:t>
      </w:r>
    </w:p>
    <w:tbl>
      <w:tblPr>
        <w:tblStyle w:val="8"/>
        <w:tblW w:w="7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1"/>
        <w:gridCol w:w="1930"/>
        <w:gridCol w:w="2025"/>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获奖级别</w:t>
            </w:r>
          </w:p>
        </w:tc>
        <w:tc>
          <w:tcPr>
            <w:tcW w:w="1930"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第一名</w:t>
            </w:r>
          </w:p>
        </w:tc>
        <w:tc>
          <w:tcPr>
            <w:tcW w:w="2025"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第二名</w:t>
            </w:r>
          </w:p>
        </w:tc>
        <w:tc>
          <w:tcPr>
            <w:tcW w:w="1886"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第三名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国家级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30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25</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省部级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15</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kern w:val="2"/>
                <w:sz w:val="28"/>
                <w:szCs w:val="28"/>
                <w:vertAlign w:val="baseline"/>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Align w:val="top"/>
          </w:tcPr>
          <w:p>
            <w:pPr>
              <w:numPr>
                <w:ilvl w:val="0"/>
                <w:numId w:val="0"/>
              </w:numPr>
              <w:spacing w:before="156" w:beforeLines="50" w:line="560" w:lineRule="exact"/>
              <w:ind w:left="0" w:leftChars="0" w:firstLine="0" w:firstLineChars="0"/>
              <w:jc w:val="center"/>
              <w:rPr>
                <w:rFonts w:hint="eastAsia"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市校级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10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8</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5</w:t>
            </w:r>
          </w:p>
        </w:tc>
      </w:tr>
    </w:tbl>
    <w:p>
      <w:pPr>
        <w:numPr>
          <w:ilvl w:val="0"/>
          <w:numId w:val="0"/>
        </w:numPr>
        <w:spacing w:line="560" w:lineRule="exact"/>
        <w:ind w:firstLine="560" w:firstLineChars="200"/>
        <w:jc w:val="left"/>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同一项目参赛获得不同奖项的，只加一次分。同一项目只按获得的最高级别的奖项加分。团体比赛主要负责人分值按对应获奖项目应得分值计算，其余成员分值减半计算，若无负责人所有成员分值均减半计算。</w:t>
      </w:r>
    </w:p>
    <w:p>
      <w:pPr>
        <w:numPr>
          <w:ilvl w:val="0"/>
          <w:numId w:val="0"/>
        </w:numPr>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2.校级及以上文艺类社团、俱乐部主要负责人加5分。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第十七条 有下列情形的酌情扣分</w:t>
      </w:r>
    </w:p>
    <w:p>
      <w:pPr>
        <w:numPr>
          <w:ilvl w:val="0"/>
          <w:numId w:val="0"/>
        </w:numPr>
        <w:spacing w:before="156" w:beforeLines="50"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1.凡无故不参加学校要求参加的美育活动者，每次扣2分，造成严重后果的扣3—5分。</w:t>
      </w:r>
    </w:p>
    <w:p>
      <w:pPr>
        <w:numPr>
          <w:ilvl w:val="0"/>
          <w:numId w:val="0"/>
        </w:numPr>
        <w:spacing w:before="156" w:beforeLines="50" w:line="560" w:lineRule="exact"/>
        <w:ind w:firstLine="640" w:firstLineChars="200"/>
        <w:rPr>
          <w:rFonts w:hint="eastAsia" w:ascii="黑体" w:hAnsi="黑体" w:eastAsia="黑体" w:cs="仿宋"/>
          <w:b/>
          <w:bCs/>
          <w:sz w:val="32"/>
          <w:szCs w:val="32"/>
        </w:rPr>
      </w:pPr>
      <w:r>
        <w:rPr>
          <w:rFonts w:hint="eastAsia" w:ascii="仿宋_GB2312" w:hAnsi="仿宋" w:eastAsia="仿宋_GB2312" w:cs="仿宋"/>
          <w:sz w:val="32"/>
          <w:szCs w:val="32"/>
          <w:lang w:val="en-US" w:eastAsia="zh-CN"/>
        </w:rPr>
        <w:t>2.有“恶搞”等低级趣味行为影响学校声誉和大学生形象的，发现一次扣5分，造成严重后果或不良影响的扣6—10分。</w:t>
      </w:r>
    </w:p>
    <w:p>
      <w:pPr>
        <w:spacing w:line="560" w:lineRule="exact"/>
        <w:jc w:val="center"/>
        <w:rPr>
          <w:rFonts w:hint="eastAsia" w:ascii="仿宋_GB2312" w:hAnsi="仿宋" w:eastAsia="仿宋_GB2312" w:cs="仿宋"/>
          <w:b w:val="0"/>
          <w:bCs w:val="0"/>
          <w:kern w:val="2"/>
          <w:sz w:val="32"/>
          <w:szCs w:val="32"/>
          <w:lang w:val="en-US" w:eastAsia="zh-CN" w:bidi="ar-SA"/>
        </w:rPr>
      </w:pPr>
      <w:r>
        <w:rPr>
          <w:rFonts w:hint="eastAsia" w:ascii="黑体" w:hAnsi="黑体" w:eastAsia="黑体" w:cs="仿宋"/>
          <w:b/>
          <w:bCs/>
          <w:sz w:val="32"/>
          <w:szCs w:val="32"/>
        </w:rPr>
        <w:t>第</w:t>
      </w:r>
      <w:r>
        <w:rPr>
          <w:rFonts w:hint="eastAsia" w:ascii="黑体" w:hAnsi="黑体" w:eastAsia="黑体" w:cs="仿宋"/>
          <w:b/>
          <w:bCs/>
          <w:sz w:val="32"/>
          <w:szCs w:val="32"/>
          <w:lang w:val="en-US" w:eastAsia="zh-CN"/>
        </w:rPr>
        <w:t>七</w:t>
      </w:r>
      <w:r>
        <w:rPr>
          <w:rFonts w:hint="eastAsia" w:ascii="黑体" w:hAnsi="黑体" w:eastAsia="黑体" w:cs="仿宋"/>
          <w:b/>
          <w:bCs/>
          <w:sz w:val="32"/>
          <w:szCs w:val="32"/>
        </w:rPr>
        <w:t xml:space="preserve">章 </w:t>
      </w:r>
      <w:r>
        <w:rPr>
          <w:rFonts w:hint="eastAsia" w:ascii="黑体" w:hAnsi="黑体" w:eastAsia="黑体" w:cs="仿宋"/>
          <w:b/>
          <w:bCs/>
          <w:sz w:val="32"/>
          <w:szCs w:val="32"/>
          <w:lang w:val="en-US" w:eastAsia="zh-CN"/>
        </w:rPr>
        <w:t>劳动教育</w:t>
      </w:r>
      <w:r>
        <w:rPr>
          <w:rFonts w:hint="eastAsia" w:ascii="黑体" w:hAnsi="黑体" w:eastAsia="黑体" w:cs="仿宋"/>
          <w:b/>
          <w:bCs/>
          <w:sz w:val="32"/>
          <w:szCs w:val="32"/>
        </w:rPr>
        <w:t>测评分数</w:t>
      </w:r>
    </w:p>
    <w:p>
      <w:pPr>
        <w:widowControl w:val="0"/>
        <w:numPr>
          <w:ilvl w:val="0"/>
          <w:numId w:val="0"/>
        </w:numPr>
        <w:spacing w:line="560" w:lineRule="exact"/>
        <w:jc w:val="both"/>
        <w:rPr>
          <w:rFonts w:ascii="仿宋_GB2312" w:hAnsi="仿宋" w:eastAsia="仿宋_GB2312" w:cs="仿宋"/>
          <w:sz w:val="32"/>
          <w:szCs w:val="32"/>
        </w:rPr>
      </w:pPr>
      <w:r>
        <w:rPr>
          <w:rFonts w:hint="eastAsia" w:ascii="黑体" w:hAnsi="黑体" w:eastAsia="黑体" w:cs="仿宋"/>
          <w:b/>
          <w:bCs/>
          <w:sz w:val="32"/>
          <w:szCs w:val="32"/>
          <w:lang w:val="en-US" w:eastAsia="zh-CN"/>
        </w:rPr>
        <w:t xml:space="preserve">   </w:t>
      </w:r>
      <w:r>
        <w:rPr>
          <w:rFonts w:hint="eastAsia" w:ascii="仿宋_GB2312" w:hAnsi="仿宋" w:eastAsia="仿宋_GB2312" w:cs="仿宋"/>
          <w:sz w:val="32"/>
          <w:szCs w:val="32"/>
          <w:lang w:val="en-US" w:eastAsia="zh-CN"/>
        </w:rPr>
        <w:t>第十八条 劳动教育分包括三个部分，</w:t>
      </w:r>
      <w:r>
        <w:rPr>
          <w:rFonts w:hint="eastAsia" w:ascii="仿宋_GB2312" w:hAnsi="仿宋" w:eastAsia="仿宋_GB2312" w:cs="仿宋"/>
          <w:sz w:val="32"/>
          <w:szCs w:val="32"/>
        </w:rPr>
        <w:t>即</w:t>
      </w:r>
      <w:r>
        <w:rPr>
          <w:rFonts w:hint="eastAsia" w:ascii="仿宋_GB2312" w:hAnsi="仿宋" w:eastAsia="仿宋_GB2312" w:cs="仿宋"/>
          <w:sz w:val="32"/>
          <w:szCs w:val="32"/>
          <w:lang w:val="en-US" w:eastAsia="zh-CN"/>
        </w:rPr>
        <w:t>劳动教育</w:t>
      </w:r>
      <w:r>
        <w:rPr>
          <w:rFonts w:hint="eastAsia" w:ascii="仿宋_GB2312" w:hAnsi="仿宋" w:eastAsia="仿宋_GB2312" w:cs="仿宋"/>
          <w:sz w:val="32"/>
          <w:szCs w:val="32"/>
        </w:rPr>
        <w:t>分</w:t>
      </w:r>
      <w:r>
        <w:rPr>
          <w:rFonts w:hint="eastAsia" w:ascii="仿宋_GB2312" w:hAnsi="仿宋" w:eastAsia="仿宋_GB2312" w:cs="仿宋"/>
          <w:sz w:val="32"/>
          <w:szCs w:val="32"/>
          <w:lang w:val="en-US" w:eastAsia="zh-CN"/>
        </w:rPr>
        <w:t>=基础分70分+加分项-减分项。其中，加分项满分为30分，在实际评定过程中，若累计分数不超过30分，按实际分数计算；若累计分数超过30分，按如下公示转化成绩：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仿宋_GB2312" w:hAnsi="仿宋" w:eastAsia="仿宋_GB2312" w:cs="仿宋"/>
          <w:sz w:val="32"/>
          <w:szCs w:val="32"/>
        </w:rPr>
      </w:pPr>
      <m:oMathPara>
        <m:oMath>
          <m:r>
            <m:rPr>
              <m:sty m:val="p"/>
            </m:rPr>
            <w:rPr>
              <w:rFonts w:hint="eastAsia" w:ascii="Cambria Math" w:hAnsi="Cambria Math" w:eastAsia="仿宋" w:cs="仿宋"/>
              <w:sz w:val="28"/>
              <w:szCs w:val="28"/>
              <w:lang w:val="en-US" w:eastAsia="zh-CN"/>
            </w:rPr>
            <m:t>加分项</m:t>
          </m:r>
          <m:r>
            <m:rPr>
              <m:sty m:val="p"/>
            </m:rPr>
            <w:rPr>
              <w:rFonts w:hint="eastAsia" w:ascii="Cambria Math" w:hAnsi="Cambria Math" w:eastAsia="仿宋" w:cs="仿宋"/>
              <w:sz w:val="28"/>
              <w:szCs w:val="28"/>
              <w:lang w:val="en-US"/>
            </w:rPr>
            <m:t>=</m:t>
          </m:r>
          <m:f>
            <m:fPr>
              <m:ctrlPr>
                <w:rPr>
                  <w:rFonts w:hint="eastAsia" w:ascii="Cambria Math" w:hAnsi="Cambria Math" w:eastAsia="仿宋" w:cs="仿宋"/>
                  <w:i w:val="0"/>
                  <w:iCs w:val="0"/>
                  <w:sz w:val="28"/>
                  <w:szCs w:val="28"/>
                  <w:lang w:val="en-US"/>
                </w:rPr>
              </m:ctrlPr>
            </m:fPr>
            <m:num>
              <m:r>
                <m:rPr>
                  <m:sty m:val="p"/>
                </m:rPr>
                <w:rPr>
                  <w:rFonts w:hint="eastAsia" w:ascii="Cambria Math" w:hAnsi="Cambria Math" w:eastAsia="仿宋" w:cs="仿宋"/>
                  <w:sz w:val="28"/>
                  <w:szCs w:val="28"/>
                  <w:lang w:val="en-US" w:eastAsia="zh-CN"/>
                </w:rPr>
                <m:t>参评成绩</m:t>
              </m:r>
              <m:ctrlPr>
                <w:rPr>
                  <w:rFonts w:hint="eastAsia" w:ascii="Cambria Math" w:hAnsi="Cambria Math" w:eastAsia="仿宋" w:cs="仿宋"/>
                  <w:i w:val="0"/>
                  <w:iCs w:val="0"/>
                  <w:sz w:val="28"/>
                  <w:szCs w:val="28"/>
                  <w:lang w:val="en-US"/>
                </w:rPr>
              </m:ctrlPr>
            </m:num>
            <m:den>
              <m:r>
                <m:rPr>
                  <m:sty m:val="p"/>
                </m:rPr>
                <w:rPr>
                  <w:rFonts w:hint="eastAsia" w:ascii="Cambria Math" w:hAnsi="Cambria Math" w:eastAsia="仿宋" w:cs="仿宋"/>
                  <w:sz w:val="28"/>
                  <w:szCs w:val="28"/>
                  <w:lang w:val="en-US" w:eastAsia="zh-CN"/>
                </w:rPr>
                <m:t>参评成绩最大值</m:t>
              </m:r>
              <m:ctrlPr>
                <w:rPr>
                  <w:rFonts w:hint="eastAsia" w:ascii="Cambria Math" w:hAnsi="Cambria Math" w:eastAsia="仿宋" w:cs="仿宋"/>
                  <w:i w:val="0"/>
                  <w:iCs w:val="0"/>
                  <w:sz w:val="28"/>
                  <w:szCs w:val="28"/>
                  <w:lang w:val="en-US"/>
                </w:rPr>
              </m:ctrlPr>
            </m:den>
          </m:f>
          <m:r>
            <m:rPr>
              <m:sty m:val="p"/>
            </m:rPr>
            <w:rPr>
              <w:rFonts w:hint="eastAsia" w:ascii="Cambria Math" w:hAnsi="Cambria Math" w:eastAsia="仿宋" w:cs="仿宋"/>
              <w:sz w:val="28"/>
              <w:szCs w:val="28"/>
              <w:lang w:val="en-US" w:eastAsia="zh-CN"/>
            </w:rPr>
            <m:t>∗30分</m:t>
          </m:r>
        </m:oMath>
      </m:oMathPara>
    </w:p>
    <w:p>
      <w:pPr>
        <w:keepNext w:val="0"/>
        <w:keepLines w:val="0"/>
        <w:pageBreakBefore w:val="0"/>
        <w:widowControl w:val="0"/>
        <w:numPr>
          <w:ilvl w:val="0"/>
          <w:numId w:val="1"/>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劳动教育分主要有如下三部分组成：</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1.积极投身于学校安全文明寝室创建活动，以在安全文明寝室创建活动以及相关义务劳动活动中取得的成绩或奖励为依据。其中，校级文明寝室成员，每人加5分；院级文明寝室成员，每人加2分。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2.在各类大型活动中担任志愿者，获得认证的志愿者证书的加5分。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default" w:ascii="仿宋_GB2312" w:hAnsi="仿宋" w:eastAsia="仿宋_GB2312" w:cs="仿宋"/>
          <w:b/>
          <w:bCs/>
          <w:sz w:val="32"/>
          <w:szCs w:val="32"/>
          <w:highlight w:val="none"/>
          <w:lang w:val="en-US" w:eastAsia="zh-CN"/>
        </w:rPr>
      </w:pPr>
      <w:r>
        <w:rPr>
          <w:rFonts w:hint="eastAsia" w:ascii="仿宋" w:hAnsi="仿宋" w:eastAsia="仿宋" w:cs="仿宋"/>
          <w:sz w:val="32"/>
          <w:szCs w:val="32"/>
          <w:lang w:val="en-US" w:eastAsia="zh-CN"/>
        </w:rPr>
        <w:t>3.参加“博士村长”、“博士工程师”等社会实践并被省级及以上媒体报道的，负责人加5分，成员加3分。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第二十条 有下列情形的酌情扣分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在学校或培养单位组织的寝室检查中，不配合或抵触的一次扣2分，造成不良影响的一次扣5分。检查中，不合格寝室的成员均扣1分，受通报批评的寝室，其成员一次扣2分</w:t>
      </w:r>
      <w:r>
        <w:rPr>
          <w:rFonts w:hint="eastAsia" w:ascii="仿宋_GB2312" w:hAnsi="仿宋" w:eastAsia="仿宋_GB2312" w:cs="仿宋"/>
          <w:sz w:val="32"/>
          <w:szCs w:val="32"/>
          <w:lang w:val="en-US" w:eastAsia="zh-CN"/>
        </w:rPr>
        <w:t>。</w:t>
      </w:r>
    </w:p>
    <w:p>
      <w:pPr>
        <w:numPr>
          <w:ilvl w:val="0"/>
          <w:numId w:val="0"/>
        </w:numPr>
        <w:spacing w:before="156" w:beforeLines="50" w:line="560" w:lineRule="exact"/>
        <w:ind w:firstLine="640" w:firstLineChars="200"/>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sz w:val="32"/>
          <w:szCs w:val="32"/>
          <w:lang w:val="en-US" w:eastAsia="zh-CN"/>
        </w:rPr>
        <w:t>2.无故不参加学校、培养单位安排的劳动教育活动，每次扣2分，造成严重后果或不良影响的扣3—5分。</w:t>
      </w:r>
    </w:p>
    <w:p>
      <w:pPr>
        <w:pStyle w:val="3"/>
        <w:spacing w:line="560" w:lineRule="exact"/>
        <w:jc w:val="center"/>
        <w:rPr>
          <w:rFonts w:hint="eastAsia" w:ascii="黑体" w:hAnsi="黑体" w:eastAsia="黑体" w:cs="仿宋"/>
          <w:b/>
          <w:bCs/>
          <w:kern w:val="2"/>
          <w:sz w:val="32"/>
          <w:szCs w:val="32"/>
          <w:lang w:val="en-US" w:eastAsia="zh-CN" w:bidi="ar-SA"/>
        </w:rPr>
      </w:pPr>
      <w:r>
        <w:rPr>
          <w:rFonts w:hint="eastAsia" w:ascii="黑体" w:hAnsi="黑体" w:eastAsia="黑体" w:cs="仿宋"/>
          <w:b/>
          <w:bCs/>
          <w:kern w:val="2"/>
          <w:sz w:val="32"/>
          <w:szCs w:val="32"/>
          <w:lang w:val="en-US" w:eastAsia="zh-CN" w:bidi="ar-SA"/>
        </w:rPr>
        <w:t>第八章 附则</w:t>
      </w:r>
    </w:p>
    <w:p>
      <w:pPr>
        <w:spacing w:before="156" w:beforeLines="50"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第二十一条 本细则</w:t>
      </w:r>
      <w:r>
        <w:rPr>
          <w:rFonts w:hint="eastAsia" w:ascii="仿宋_GB2312" w:hAnsi="仿宋" w:eastAsia="仿宋_GB2312" w:cs="仿宋"/>
          <w:sz w:val="32"/>
          <w:szCs w:val="32"/>
        </w:rPr>
        <w:t>由党委研究生工作部（研究生管理处）、研究生院负责解释。</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CA383F"/>
    <w:multiLevelType w:val="singleLevel"/>
    <w:tmpl w:val="2BCA383F"/>
    <w:lvl w:ilvl="0" w:tentative="0">
      <w:start w:val="19"/>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yMmE4MjU2YzI3ZmI0MDg3ZDZiZTU5YTAyYTZiZmUifQ=="/>
    <w:docVar w:name="KSO_WPS_MARK_KEY" w:val="797d1f63-9cc2-45b6-b41b-6fe05237f3f9"/>
  </w:docVars>
  <w:rsids>
    <w:rsidRoot w:val="18A45F0F"/>
    <w:rsid w:val="01557DEC"/>
    <w:rsid w:val="02C17674"/>
    <w:rsid w:val="047F28A2"/>
    <w:rsid w:val="05BD1CBA"/>
    <w:rsid w:val="064A71E7"/>
    <w:rsid w:val="06710335"/>
    <w:rsid w:val="07FA4081"/>
    <w:rsid w:val="082E7ECC"/>
    <w:rsid w:val="08495581"/>
    <w:rsid w:val="090825D6"/>
    <w:rsid w:val="0BBE689D"/>
    <w:rsid w:val="0D647DE5"/>
    <w:rsid w:val="0E5C3D4C"/>
    <w:rsid w:val="0E7478E1"/>
    <w:rsid w:val="0EAD3858"/>
    <w:rsid w:val="0FE37E68"/>
    <w:rsid w:val="105136BF"/>
    <w:rsid w:val="1540437F"/>
    <w:rsid w:val="17B615AE"/>
    <w:rsid w:val="18A45F0F"/>
    <w:rsid w:val="19066C67"/>
    <w:rsid w:val="19EA5A6E"/>
    <w:rsid w:val="1BC432EE"/>
    <w:rsid w:val="1DFF3104"/>
    <w:rsid w:val="1F103210"/>
    <w:rsid w:val="1F967708"/>
    <w:rsid w:val="205076B3"/>
    <w:rsid w:val="20760EE8"/>
    <w:rsid w:val="22F85B59"/>
    <w:rsid w:val="230F2597"/>
    <w:rsid w:val="24EC7B7F"/>
    <w:rsid w:val="24F57BE6"/>
    <w:rsid w:val="2511013A"/>
    <w:rsid w:val="254E6207"/>
    <w:rsid w:val="27D77DA3"/>
    <w:rsid w:val="281D0610"/>
    <w:rsid w:val="29756119"/>
    <w:rsid w:val="2CAB6B2A"/>
    <w:rsid w:val="31AA501A"/>
    <w:rsid w:val="33132265"/>
    <w:rsid w:val="331B2E14"/>
    <w:rsid w:val="36E07C5A"/>
    <w:rsid w:val="370F3317"/>
    <w:rsid w:val="39CA7499"/>
    <w:rsid w:val="3A82714C"/>
    <w:rsid w:val="3CD031A3"/>
    <w:rsid w:val="3E7E3A7D"/>
    <w:rsid w:val="3F7033D7"/>
    <w:rsid w:val="40181E8F"/>
    <w:rsid w:val="40F90E93"/>
    <w:rsid w:val="40F91FF1"/>
    <w:rsid w:val="421E27DB"/>
    <w:rsid w:val="43080255"/>
    <w:rsid w:val="4590570F"/>
    <w:rsid w:val="4A983469"/>
    <w:rsid w:val="4BD27B4B"/>
    <w:rsid w:val="4EDE7F34"/>
    <w:rsid w:val="4EFB69FD"/>
    <w:rsid w:val="53051D83"/>
    <w:rsid w:val="5358379E"/>
    <w:rsid w:val="54A21675"/>
    <w:rsid w:val="57655F58"/>
    <w:rsid w:val="58457C7F"/>
    <w:rsid w:val="5C4A5FA1"/>
    <w:rsid w:val="5C976749"/>
    <w:rsid w:val="5CAC15BA"/>
    <w:rsid w:val="5D7B04CE"/>
    <w:rsid w:val="5DA10C47"/>
    <w:rsid w:val="5EAD0620"/>
    <w:rsid w:val="5FD06615"/>
    <w:rsid w:val="601F00EB"/>
    <w:rsid w:val="61F35C92"/>
    <w:rsid w:val="638F73B4"/>
    <w:rsid w:val="66943C20"/>
    <w:rsid w:val="69386A2A"/>
    <w:rsid w:val="699C27E2"/>
    <w:rsid w:val="6C423AF6"/>
    <w:rsid w:val="6D434402"/>
    <w:rsid w:val="6D9E68E0"/>
    <w:rsid w:val="7115711D"/>
    <w:rsid w:val="721C0279"/>
    <w:rsid w:val="7239166B"/>
    <w:rsid w:val="72424C49"/>
    <w:rsid w:val="744B2277"/>
    <w:rsid w:val="74CC0A63"/>
    <w:rsid w:val="776437A4"/>
    <w:rsid w:val="791365FE"/>
    <w:rsid w:val="7B275EC2"/>
    <w:rsid w:val="7D746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0"/>
    <w:qFormat/>
    <w:uiPriority w:val="0"/>
    <w:pPr>
      <w:keepNext/>
      <w:keepLines/>
      <w:spacing w:line="360" w:lineRule="auto"/>
      <w:outlineLvl w:val="0"/>
    </w:pPr>
    <w:rPr>
      <w:rFonts w:eastAsiaTheme="majorEastAsia"/>
      <w:b/>
      <w:bCs/>
      <w:kern w:val="44"/>
      <w:sz w:val="44"/>
      <w:szCs w:val="44"/>
    </w:rPr>
  </w:style>
  <w:style w:type="paragraph" w:styleId="3">
    <w:name w:val="heading 2"/>
    <w:basedOn w:val="1"/>
    <w:next w:val="1"/>
    <w:semiHidden/>
    <w:unhideWhenUsed/>
    <w:qFormat/>
    <w:uiPriority w:val="0"/>
    <w:pPr>
      <w:keepNext/>
      <w:keepLines/>
      <w:spacing w:line="360" w:lineRule="auto"/>
      <w:ind w:firstLine="0" w:firstLineChars="0"/>
      <w:outlineLvl w:val="1"/>
    </w:pPr>
    <w:rPr>
      <w:rFonts w:ascii="等线 Light" w:hAnsi="等线 Light" w:cs="Times New Roman" w:eastAsiaTheme="majorEastAsia"/>
      <w:b/>
      <w:bCs/>
      <w:sz w:val="32"/>
      <w:szCs w:val="32"/>
    </w:rPr>
  </w:style>
  <w:style w:type="paragraph" w:styleId="4">
    <w:name w:val="heading 3"/>
    <w:basedOn w:val="1"/>
    <w:next w:val="1"/>
    <w:semiHidden/>
    <w:unhideWhenUsed/>
    <w:qFormat/>
    <w:uiPriority w:val="0"/>
    <w:pPr>
      <w:keepNext/>
      <w:keepLines/>
      <w:spacing w:line="360" w:lineRule="auto"/>
      <w:ind w:firstLine="0" w:firstLineChars="0"/>
      <w:outlineLvl w:val="2"/>
    </w:pPr>
    <w:rPr>
      <w:rFonts w:eastAsiaTheme="majorEastAsia"/>
      <w:b/>
      <w:bCs/>
      <w:sz w:val="30"/>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字符"/>
    <w:link w:val="2"/>
    <w:qFormat/>
    <w:uiPriority w:val="9"/>
    <w:rPr>
      <w:rFonts w:eastAsiaTheme="majorEastAsia"/>
      <w:b/>
      <w:bCs/>
      <w:kern w:val="44"/>
      <w:sz w:val="44"/>
      <w:szCs w:val="44"/>
    </w:rPr>
  </w:style>
  <w:style w:type="character" w:customStyle="1" w:styleId="11">
    <w:name w:val="font01"/>
    <w:qFormat/>
    <w:uiPriority w:val="0"/>
    <w:rPr>
      <w:rFonts w:hint="eastAsia" w:ascii="仿宋" w:hAnsi="仿宋" w:eastAsia="仿宋" w:cs="仿宋"/>
      <w:color w:val="000000"/>
      <w:sz w:val="24"/>
      <w:szCs w:val="24"/>
      <w:u w:val="none"/>
    </w:rPr>
  </w:style>
  <w:style w:type="character" w:customStyle="1" w:styleId="12">
    <w:name w:val="font21"/>
    <w:basedOn w:val="9"/>
    <w:qFormat/>
    <w:uiPriority w:val="0"/>
    <w:rPr>
      <w:rFonts w:hint="default" w:ascii="Times New Roman" w:hAnsi="Times New Roman" w:cs="Times New Roman"/>
      <w:color w:val="000000"/>
      <w:sz w:val="24"/>
      <w:szCs w:val="24"/>
      <w:u w:val="none"/>
    </w:rPr>
  </w:style>
  <w:style w:type="character" w:customStyle="1" w:styleId="13">
    <w:name w:val="font11"/>
    <w:basedOn w:val="9"/>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4011</Words>
  <Characters>4272</Characters>
  <Lines>0</Lines>
  <Paragraphs>0</Paragraphs>
  <TotalTime>4</TotalTime>
  <ScaleCrop>false</ScaleCrop>
  <LinksUpToDate>false</LinksUpToDate>
  <CharactersWithSpaces>4430</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2022-06-14T00:56:00Z</dcterms:created>
  <dc:creator>萌</dc:creator>
  <cp:lastModifiedBy>mengmeng</cp:lastModifiedBy>
  <cp:lastPrinted>2022-08-26T09:19:00Z</cp:lastPrinted>
  <dcterms:modified xsi:type="dcterms:W3CDTF">2024-08-27T11:00:24Z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5F159B50762E4A5FB211DAB837D571E4</vt:lpwstr>
  </property>
</Properties>
</file>