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ajorEastAsia" w:hAnsiTheme="majorEastAsia" w:eastAsiaTheme="majorEastAsia" w:cstheme="majorEastAsia"/>
          <w:b/>
          <w:kern w:val="44"/>
          <w:sz w:val="44"/>
          <w:szCs w:val="44"/>
        </w:rPr>
      </w:pPr>
      <w:bookmarkStart w:id="2" w:name="_GoBack"/>
      <w:bookmarkEnd w:id="2"/>
      <w:r>
        <w:rPr>
          <w:rFonts w:hint="eastAsia" w:asciiTheme="majorEastAsia" w:hAnsiTheme="majorEastAsia" w:eastAsiaTheme="majorEastAsia" w:cstheme="majorEastAsia"/>
          <w:b/>
          <w:kern w:val="44"/>
          <w:sz w:val="44"/>
          <w:szCs w:val="44"/>
        </w:rPr>
        <w:t>资源与环境工程学院（含喀斯特重点实验室）</w:t>
      </w:r>
    </w:p>
    <w:p>
      <w:pPr>
        <w:spacing w:line="360" w:lineRule="auto"/>
        <w:jc w:val="center"/>
        <w:rPr>
          <w:rFonts w:hint="eastAsia" w:asciiTheme="majorEastAsia" w:hAnsiTheme="majorEastAsia" w:eastAsiaTheme="majorEastAsia" w:cstheme="majorEastAsia"/>
          <w:b/>
          <w:kern w:val="44"/>
          <w:sz w:val="44"/>
          <w:szCs w:val="44"/>
          <w:lang w:val="en-US" w:eastAsia="zh-CN"/>
        </w:rPr>
      </w:pPr>
      <w:r>
        <w:rPr>
          <w:rFonts w:hint="eastAsia" w:asciiTheme="majorEastAsia" w:hAnsiTheme="majorEastAsia" w:eastAsiaTheme="majorEastAsia" w:cstheme="majorEastAsia"/>
          <w:b/>
          <w:kern w:val="44"/>
          <w:sz w:val="44"/>
          <w:szCs w:val="44"/>
        </w:rPr>
        <w:t>研究生单项奖学金</w:t>
      </w:r>
      <w:r>
        <w:rPr>
          <w:rFonts w:hint="eastAsia" w:asciiTheme="majorEastAsia" w:hAnsiTheme="majorEastAsia" w:eastAsiaTheme="majorEastAsia" w:cstheme="majorEastAsia"/>
          <w:b/>
          <w:kern w:val="44"/>
          <w:sz w:val="44"/>
          <w:szCs w:val="44"/>
          <w:lang w:val="en-US" w:eastAsia="zh-CN"/>
        </w:rPr>
        <w:t>计分办法</w:t>
      </w:r>
    </w:p>
    <w:p>
      <w:pPr>
        <w:spacing w:line="560" w:lineRule="exact"/>
        <w:jc w:val="center"/>
        <w:rPr>
          <w:rFonts w:hint="default" w:ascii="方正小标宋简体" w:hAnsi="仿宋" w:eastAsia="方正小标宋简体" w:cs="仿宋"/>
          <w:sz w:val="44"/>
          <w:szCs w:val="44"/>
          <w:lang w:val="en-US" w:eastAsia="zh-CN"/>
        </w:rPr>
      </w:pPr>
    </w:p>
    <w:p>
      <w:pPr>
        <w:spacing w:line="560" w:lineRule="exact"/>
        <w:rPr>
          <w:rFonts w:hint="default" w:ascii="仿宋" w:hAnsi="仿宋" w:eastAsia="仿宋" w:cs="仿宋"/>
          <w:sz w:val="32"/>
          <w:szCs w:val="32"/>
          <w:lang w:val="en-US" w:eastAsia="zh-CN"/>
        </w:rPr>
      </w:pPr>
      <w:bookmarkStart w:id="0" w:name="_Hlk527622917"/>
      <w:r>
        <w:rPr>
          <w:rFonts w:hint="eastAsia" w:ascii="黑体" w:hAnsi="黑体" w:eastAsia="黑体" w:cs="仿宋"/>
          <w:b/>
          <w:bCs/>
          <w:sz w:val="32"/>
          <w:szCs w:val="32"/>
          <w:lang w:val="en-US" w:eastAsia="zh-CN"/>
        </w:rPr>
        <w:t xml:space="preserve">  </w:t>
      </w:r>
      <w:r>
        <w:rPr>
          <w:rFonts w:hint="eastAsia" w:ascii="仿宋" w:hAnsi="仿宋" w:eastAsia="仿宋" w:cs="仿宋"/>
          <w:sz w:val="32"/>
          <w:szCs w:val="32"/>
          <w:lang w:val="en-US" w:eastAsia="zh-CN"/>
        </w:rPr>
        <w:t xml:space="preserve">  根据贵州大学制定的《贵州大学研究生奖学金评定办法》（修订），结合资环学院及实验室特点特制定了《资源与环境工程学院（含喀斯特重点实验室）研究生单项奖学金积分办法》，学院将根据学校单项奖学金分配名额、学生成果申报、积分情况，由院党委讨论决定获单项奖学金的人员名单。</w:t>
      </w:r>
    </w:p>
    <w:p>
      <w:pPr>
        <w:spacing w:line="560" w:lineRule="exact"/>
        <w:rPr>
          <w:rFonts w:hint="default" w:ascii="黑体" w:hAnsi="黑体" w:eastAsia="黑体" w:cs="仿宋"/>
          <w:b/>
          <w:bCs/>
          <w:sz w:val="32"/>
          <w:szCs w:val="32"/>
          <w:lang w:val="en-US" w:eastAsia="zh-CN"/>
        </w:rPr>
      </w:pPr>
      <w:r>
        <w:rPr>
          <w:rFonts w:hint="eastAsia" w:ascii="黑体" w:hAnsi="黑体" w:eastAsia="黑体" w:cs="仿宋"/>
          <w:b/>
          <w:bCs/>
          <w:sz w:val="32"/>
          <w:szCs w:val="32"/>
          <w:lang w:val="en-US" w:eastAsia="zh-CN"/>
        </w:rPr>
        <w:t xml:space="preserve">  </w:t>
      </w:r>
    </w:p>
    <w:p>
      <w:pPr>
        <w:spacing w:line="560" w:lineRule="exact"/>
        <w:rPr>
          <w:rFonts w:hint="eastAsia" w:ascii="黑体" w:hAnsi="黑体" w:eastAsia="黑体" w:cs="仿宋"/>
          <w:b/>
          <w:bCs/>
          <w:sz w:val="32"/>
          <w:szCs w:val="32"/>
        </w:rPr>
      </w:pPr>
      <w:r>
        <w:rPr>
          <w:rFonts w:hint="eastAsia" w:ascii="黑体" w:hAnsi="黑体" w:eastAsia="黑体" w:cs="仿宋"/>
          <w:b/>
          <w:bCs/>
          <w:sz w:val="32"/>
          <w:szCs w:val="32"/>
        </w:rPr>
        <w:t>一、践行习近平新时代中国特色社会主义思想</w:t>
      </w:r>
    </w:p>
    <w:p>
      <w:p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1.主题宣讲</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以较高的道德标准要求自己，践行习近平新时代中国特色社会主义思想，积极开展主题鲜明、联系实际的宣讲活动，取得良好的宣传效果。以开展宣讲的宣传报道原件或网络媒体完整截图为支撑材料。按照宣讲的影响程度加分标准如下：</w:t>
      </w:r>
    </w:p>
    <w:tbl>
      <w:tblPr>
        <w:tblStyle w:val="3"/>
        <w:tblpPr w:leftFromText="180" w:rightFromText="180" w:vertAnchor="text" w:horzAnchor="page" w:tblpX="2415" w:tblpY="24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2"/>
        <w:gridCol w:w="4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3562" w:type="dxa"/>
            <w:tcBorders>
              <w:top w:val="single" w:color="auto" w:sz="8" w:space="0"/>
            </w:tcBorders>
            <w:noWrap w:val="0"/>
            <w:vAlign w:val="center"/>
          </w:tcPr>
          <w:p>
            <w:pPr>
              <w:spacing w:line="560" w:lineRule="exact"/>
              <w:ind w:firstLine="640" w:firstLineChars="200"/>
              <w:jc w:val="center"/>
              <w:rPr>
                <w:rFonts w:hint="eastAsia" w:ascii="仿宋" w:hAnsi="仿宋" w:eastAsia="仿宋" w:cs="仿宋"/>
                <w:sz w:val="32"/>
                <w:szCs w:val="32"/>
              </w:rPr>
            </w:pPr>
            <w:bookmarkStart w:id="1" w:name="OLE_LINK2"/>
            <w:r>
              <w:rPr>
                <w:rFonts w:hint="eastAsia" w:ascii="仿宋" w:hAnsi="仿宋" w:eastAsia="仿宋" w:cs="仿宋"/>
                <w:sz w:val="32"/>
                <w:szCs w:val="32"/>
              </w:rPr>
              <w:t>主题宣讲级别</w:t>
            </w:r>
          </w:p>
        </w:tc>
        <w:tc>
          <w:tcPr>
            <w:tcW w:w="4238" w:type="dxa"/>
            <w:tcBorders>
              <w:top w:val="single" w:color="auto" w:sz="8" w:space="0"/>
            </w:tcBorders>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62" w:type="dxa"/>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国家级</w:t>
            </w:r>
          </w:p>
        </w:tc>
        <w:tc>
          <w:tcPr>
            <w:tcW w:w="4238" w:type="dxa"/>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562" w:type="dxa"/>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省部级</w:t>
            </w:r>
          </w:p>
        </w:tc>
        <w:tc>
          <w:tcPr>
            <w:tcW w:w="4238" w:type="dxa"/>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3562" w:type="dxa"/>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校级</w:t>
            </w:r>
          </w:p>
        </w:tc>
        <w:tc>
          <w:tcPr>
            <w:tcW w:w="4238" w:type="dxa"/>
            <w:noWrap w:val="0"/>
            <w:vAlign w:val="center"/>
          </w:tcPr>
          <w:p>
            <w:pPr>
              <w:spacing w:line="560" w:lineRule="exact"/>
              <w:ind w:firstLine="640" w:firstLineChars="20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3562" w:type="dxa"/>
            <w:tcBorders>
              <w:bottom w:val="single" w:color="auto" w:sz="8" w:space="0"/>
            </w:tcBorders>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院级</w:t>
            </w:r>
          </w:p>
        </w:tc>
        <w:tc>
          <w:tcPr>
            <w:tcW w:w="4238" w:type="dxa"/>
            <w:tcBorders>
              <w:bottom w:val="single" w:color="auto" w:sz="8" w:space="0"/>
            </w:tcBorders>
            <w:noWrap w:val="0"/>
            <w:vAlign w:val="center"/>
          </w:tcPr>
          <w:p>
            <w:pPr>
              <w:spacing w:line="560" w:lineRule="exact"/>
              <w:ind w:firstLine="640" w:firstLineChars="20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r>
      <w:bookmarkEnd w:id="1"/>
    </w:tbl>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 xml:space="preserve"> </w:t>
      </w:r>
    </w:p>
    <w:p>
      <w:pPr>
        <w:spacing w:line="560" w:lineRule="exact"/>
        <w:ind w:firstLine="643" w:firstLineChars="200"/>
        <w:rPr>
          <w:rFonts w:hint="eastAsia" w:ascii="仿宋" w:hAnsi="仿宋" w:eastAsia="仿宋" w:cs="仿宋"/>
          <w:b/>
          <w:bCs/>
          <w:sz w:val="32"/>
          <w:szCs w:val="32"/>
        </w:rPr>
      </w:pPr>
    </w:p>
    <w:p>
      <w:pPr>
        <w:spacing w:line="560" w:lineRule="exact"/>
        <w:ind w:firstLine="643" w:firstLineChars="200"/>
        <w:rPr>
          <w:rFonts w:hint="eastAsia" w:ascii="仿宋" w:hAnsi="仿宋" w:eastAsia="仿宋" w:cs="仿宋"/>
          <w:b/>
          <w:bCs/>
          <w:sz w:val="32"/>
          <w:szCs w:val="32"/>
        </w:rPr>
      </w:pPr>
    </w:p>
    <w:p>
      <w:pPr>
        <w:spacing w:line="560" w:lineRule="exact"/>
        <w:ind w:firstLine="643" w:firstLineChars="200"/>
        <w:rPr>
          <w:rFonts w:hint="eastAsia" w:ascii="仿宋" w:hAnsi="仿宋" w:eastAsia="仿宋" w:cs="仿宋"/>
          <w:b/>
          <w:bCs/>
          <w:sz w:val="32"/>
          <w:szCs w:val="32"/>
        </w:rPr>
      </w:pPr>
    </w:p>
    <w:p>
      <w:pPr>
        <w:spacing w:line="560" w:lineRule="exact"/>
        <w:ind w:firstLine="643" w:firstLineChars="200"/>
        <w:rPr>
          <w:rFonts w:hint="eastAsia" w:ascii="仿宋" w:hAnsi="仿宋" w:eastAsia="仿宋" w:cs="仿宋"/>
          <w:b/>
          <w:bCs/>
          <w:sz w:val="32"/>
          <w:szCs w:val="32"/>
        </w:rPr>
      </w:pPr>
    </w:p>
    <w:p>
      <w:pPr>
        <w:spacing w:line="560" w:lineRule="exact"/>
        <w:rPr>
          <w:rFonts w:hint="eastAsia" w:ascii="仿宋" w:hAnsi="仿宋" w:eastAsia="仿宋" w:cs="仿宋"/>
          <w:b/>
          <w:bCs/>
          <w:sz w:val="32"/>
          <w:szCs w:val="32"/>
        </w:rPr>
      </w:pP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注：以上同一项活动，按主题宣讲最高级别加分，不累计加分。</w:t>
      </w:r>
    </w:p>
    <w:p>
      <w:p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 xml:space="preserve"> 2.发表文章</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加强理论学习，研习习近平新时代中国特色社会主义思想，并在各大报刊、网络媒介发表宣扬正能量的</w:t>
      </w:r>
      <w:r>
        <w:rPr>
          <w:rFonts w:hint="eastAsia" w:ascii="仿宋" w:hAnsi="仿宋" w:eastAsia="仿宋" w:cs="仿宋"/>
          <w:sz w:val="32"/>
          <w:szCs w:val="32"/>
          <w:lang w:val="en-US" w:eastAsia="zh-CN"/>
        </w:rPr>
        <w:t>原创</w:t>
      </w:r>
      <w:r>
        <w:rPr>
          <w:rFonts w:hint="eastAsia" w:ascii="仿宋" w:hAnsi="仿宋" w:eastAsia="仿宋" w:cs="仿宋"/>
          <w:sz w:val="32"/>
          <w:szCs w:val="32"/>
        </w:rPr>
        <w:t>文章。以纸质报刊原件和网络媒体完整截图为支撑材料。按照报刊、网络媒介的影响力加分标准如下：</w:t>
      </w:r>
    </w:p>
    <w:tbl>
      <w:tblPr>
        <w:tblStyle w:val="3"/>
        <w:tblpPr w:leftFromText="180" w:rightFromText="180" w:vertAnchor="text" w:horzAnchor="page" w:tblpXSpec="center" w:tblpY="199"/>
        <w:tblOverlap w:val="never"/>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3"/>
        <w:gridCol w:w="4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2528" w:type="pct"/>
            <w:tcBorders>
              <w:top w:val="single" w:color="auto" w:sz="8" w:space="0"/>
            </w:tcBorders>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报刊、网络媒介影响力</w:t>
            </w:r>
          </w:p>
        </w:tc>
        <w:tc>
          <w:tcPr>
            <w:tcW w:w="2471" w:type="pct"/>
            <w:tcBorders>
              <w:top w:val="single" w:color="auto" w:sz="8" w:space="0"/>
            </w:tcBorders>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0" w:hRule="atLeast"/>
          <w:jc w:val="center"/>
        </w:trPr>
        <w:tc>
          <w:tcPr>
            <w:tcW w:w="2528" w:type="pct"/>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国家级</w:t>
            </w:r>
          </w:p>
        </w:tc>
        <w:tc>
          <w:tcPr>
            <w:tcW w:w="2471" w:type="pct"/>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5" w:hRule="atLeast"/>
          <w:jc w:val="center"/>
        </w:trPr>
        <w:tc>
          <w:tcPr>
            <w:tcW w:w="2528" w:type="pct"/>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省部级</w:t>
            </w:r>
          </w:p>
        </w:tc>
        <w:tc>
          <w:tcPr>
            <w:tcW w:w="2471" w:type="pct"/>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528" w:type="pct"/>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校级</w:t>
            </w:r>
          </w:p>
        </w:tc>
        <w:tc>
          <w:tcPr>
            <w:tcW w:w="2471" w:type="pct"/>
            <w:noWrap w:val="0"/>
            <w:vAlign w:val="center"/>
          </w:tcPr>
          <w:p>
            <w:pPr>
              <w:spacing w:line="560" w:lineRule="exact"/>
              <w:ind w:firstLine="640" w:firstLineChars="20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2528" w:type="pct"/>
            <w:tcBorders>
              <w:bottom w:val="single" w:color="auto" w:sz="8" w:space="0"/>
            </w:tcBorders>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院级</w:t>
            </w:r>
          </w:p>
        </w:tc>
        <w:tc>
          <w:tcPr>
            <w:tcW w:w="2471" w:type="pct"/>
            <w:tcBorders>
              <w:bottom w:val="single" w:color="auto" w:sz="8" w:space="0"/>
            </w:tcBorders>
            <w:noWrap w:val="0"/>
            <w:vAlign w:val="center"/>
          </w:tcPr>
          <w:p>
            <w:pPr>
              <w:spacing w:line="560" w:lineRule="exact"/>
              <w:ind w:firstLine="640" w:firstLineChars="20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r>
    </w:tbl>
    <w:p>
      <w:pPr>
        <w:spacing w:line="560" w:lineRule="exac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注：</w:t>
      </w:r>
      <w:r>
        <w:rPr>
          <w:rFonts w:hint="eastAsia" w:ascii="仿宋" w:hAnsi="仿宋" w:eastAsia="仿宋" w:cs="仿宋"/>
          <w:sz w:val="32"/>
          <w:szCs w:val="32"/>
        </w:rPr>
        <w:t>以上同一项活动，按发表文章影响力最大的媒介加分</w:t>
      </w:r>
      <w:r>
        <w:rPr>
          <w:rFonts w:hint="eastAsia" w:ascii="仿宋" w:hAnsi="仿宋" w:eastAsia="仿宋" w:cs="仿宋"/>
          <w:sz w:val="32"/>
          <w:szCs w:val="32"/>
          <w:lang w:eastAsia="zh-CN"/>
        </w:rPr>
        <w:t>，</w:t>
      </w:r>
      <w:r>
        <w:rPr>
          <w:rFonts w:hint="eastAsia" w:ascii="仿宋" w:hAnsi="仿宋" w:eastAsia="仿宋" w:cs="仿宋"/>
          <w:sz w:val="32"/>
          <w:szCs w:val="32"/>
        </w:rPr>
        <w:t>不累计加分。</w:t>
      </w:r>
      <w:r>
        <w:rPr>
          <w:rFonts w:hint="eastAsia" w:ascii="仿宋" w:hAnsi="仿宋" w:eastAsia="仿宋" w:cs="仿宋"/>
          <w:sz w:val="32"/>
          <w:szCs w:val="32"/>
          <w:lang w:val="en-US" w:eastAsia="zh-CN"/>
        </w:rPr>
        <w:t>校级以上媒体作者单位必须是贵州大学，校级以上媒体作者单位必须是贵州大学，校级媒体必须注明资环学院。</w:t>
      </w:r>
    </w:p>
    <w:p>
      <w:pPr>
        <w:spacing w:line="560" w:lineRule="exact"/>
        <w:ind w:left="638" w:leftChars="304" w:firstLine="0" w:firstLineChars="0"/>
        <w:jc w:val="left"/>
        <w:rPr>
          <w:rFonts w:hint="default" w:ascii="仿宋" w:hAnsi="仿宋" w:eastAsia="仿宋" w:cs="仿宋"/>
          <w:sz w:val="32"/>
          <w:szCs w:val="32"/>
          <w:lang w:val="en-US" w:eastAsia="zh-CN"/>
        </w:rPr>
      </w:pPr>
    </w:p>
    <w:p>
      <w:p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3.参加活动</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积极参与立足新时代，践行新思想活动，特别是参加学习习近平2011年5月9日在我校中国文化书院讲话的相关活动。在活动中承担相关任务，为学校及学院带来良好社会评价。参加同一活动负责相关任务并在活动中获得荣誉，按最高项加分，不累计加分（校级、院级活动必须</w:t>
      </w:r>
      <w:r>
        <w:rPr>
          <w:rFonts w:hint="eastAsia" w:ascii="仿宋" w:hAnsi="仿宋" w:eastAsia="仿宋" w:cs="仿宋"/>
          <w:sz w:val="32"/>
          <w:szCs w:val="32"/>
          <w:lang w:val="en-US" w:eastAsia="zh-CN"/>
        </w:rPr>
        <w:t>要以推文形式</w:t>
      </w:r>
      <w:r>
        <w:rPr>
          <w:rFonts w:hint="eastAsia" w:ascii="仿宋" w:hAnsi="仿宋" w:eastAsia="仿宋" w:cs="仿宋"/>
          <w:sz w:val="32"/>
          <w:szCs w:val="32"/>
        </w:rPr>
        <w:t>在</w:t>
      </w:r>
      <w:r>
        <w:rPr>
          <w:rFonts w:hint="eastAsia" w:ascii="仿宋" w:hAnsi="仿宋" w:eastAsia="仿宋" w:cs="仿宋"/>
          <w:sz w:val="32"/>
          <w:szCs w:val="32"/>
          <w:lang w:val="en-US" w:eastAsia="zh-CN"/>
        </w:rPr>
        <w:t>资喀研汇、</w:t>
      </w:r>
      <w:r>
        <w:rPr>
          <w:rFonts w:hint="eastAsia" w:ascii="仿宋" w:hAnsi="仿宋" w:eastAsia="仿宋" w:cs="仿宋"/>
          <w:sz w:val="32"/>
          <w:szCs w:val="32"/>
        </w:rPr>
        <w:t>贵研新声或贵大官网上进行过新闻媒体宣传，</w:t>
      </w:r>
      <w:r>
        <w:rPr>
          <w:rFonts w:hint="eastAsia" w:ascii="仿宋" w:hAnsi="仿宋" w:eastAsia="仿宋" w:cs="仿宋"/>
          <w:sz w:val="32"/>
          <w:szCs w:val="32"/>
          <w:lang w:val="en-US" w:eastAsia="zh-CN"/>
        </w:rPr>
        <w:t>若宣传平台高于举办方级别另加3分，</w:t>
      </w:r>
      <w:r>
        <w:rPr>
          <w:rFonts w:hint="eastAsia" w:ascii="仿宋" w:hAnsi="仿宋" w:eastAsia="仿宋" w:cs="仿宋"/>
          <w:sz w:val="32"/>
          <w:szCs w:val="32"/>
        </w:rPr>
        <w:t>具有相关支撑材料）。根据参加活动的级别加分标准如下：</w:t>
      </w:r>
    </w:p>
    <w:p>
      <w:pPr>
        <w:spacing w:line="560" w:lineRule="exact"/>
        <w:ind w:left="638" w:leftChars="304" w:firstLine="0" w:firstLineChars="0"/>
        <w:jc w:val="left"/>
        <w:rPr>
          <w:rFonts w:hint="eastAsia" w:ascii="仿宋" w:hAnsi="仿宋" w:eastAsia="仿宋" w:cs="仿宋"/>
          <w:sz w:val="32"/>
          <w:szCs w:val="32"/>
          <w:lang w:val="en-US" w:eastAsia="zh-CN"/>
        </w:rPr>
      </w:pPr>
    </w:p>
    <w:p>
      <w:pPr>
        <w:spacing w:line="560" w:lineRule="exact"/>
        <w:ind w:firstLine="640" w:firstLineChars="200"/>
        <w:rPr>
          <w:rFonts w:hint="eastAsia" w:ascii="仿宋" w:hAnsi="仿宋" w:eastAsia="仿宋" w:cs="仿宋"/>
          <w:sz w:val="32"/>
          <w:szCs w:val="32"/>
        </w:rPr>
      </w:pPr>
    </w:p>
    <w:tbl>
      <w:tblPr>
        <w:tblStyle w:val="3"/>
        <w:tblW w:w="0" w:type="auto"/>
        <w:jc w:val="center"/>
        <w:tblLayout w:type="fixed"/>
        <w:tblCellMar>
          <w:top w:w="0" w:type="dxa"/>
          <w:left w:w="0" w:type="dxa"/>
          <w:bottom w:w="0" w:type="dxa"/>
          <w:right w:w="0" w:type="dxa"/>
        </w:tblCellMar>
      </w:tblPr>
      <w:tblGrid>
        <w:gridCol w:w="1868"/>
        <w:gridCol w:w="1538"/>
        <w:gridCol w:w="1395"/>
        <w:gridCol w:w="1455"/>
        <w:gridCol w:w="1680"/>
      </w:tblGrid>
      <w:tr>
        <w:tblPrEx>
          <w:tblCellMar>
            <w:top w:w="0" w:type="dxa"/>
            <w:left w:w="0" w:type="dxa"/>
            <w:bottom w:w="0" w:type="dxa"/>
            <w:right w:w="0" w:type="dxa"/>
          </w:tblCellMar>
        </w:tblPrEx>
        <w:trPr>
          <w:trHeight w:val="575" w:hRule="atLeast"/>
          <w:jc w:val="center"/>
        </w:trPr>
        <w:tc>
          <w:tcPr>
            <w:tcW w:w="1868"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等次</w:t>
            </w:r>
          </w:p>
          <w:p>
            <w:pPr>
              <w:spacing w:line="560" w:lineRule="exact"/>
              <w:rPr>
                <w:rFonts w:hint="eastAsia" w:ascii="仿宋" w:hAnsi="仿宋" w:eastAsia="仿宋" w:cs="仿宋"/>
                <w:sz w:val="32"/>
                <w:szCs w:val="32"/>
              </w:rPr>
            </w:pPr>
            <w:r>
              <w:rPr>
                <w:rFonts w:hint="eastAsia" w:ascii="仿宋" w:hAnsi="仿宋" w:eastAsia="仿宋" w:cs="仿宋"/>
                <w:sz w:val="32"/>
                <w:szCs w:val="32"/>
              </w:rPr>
              <w:t>获奖级别</w:t>
            </w:r>
          </w:p>
        </w:tc>
        <w:tc>
          <w:tcPr>
            <w:tcW w:w="1538"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一等奖</w:t>
            </w:r>
          </w:p>
        </w:tc>
        <w:tc>
          <w:tcPr>
            <w:tcW w:w="139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rPr>
                <w:rFonts w:hint="eastAsia" w:ascii="仿宋" w:hAnsi="仿宋" w:eastAsia="仿宋" w:cs="仿宋"/>
                <w:sz w:val="32"/>
                <w:szCs w:val="32"/>
              </w:rPr>
            </w:pPr>
            <w:r>
              <w:rPr>
                <w:rFonts w:hint="eastAsia" w:ascii="仿宋" w:hAnsi="仿宋" w:eastAsia="仿宋" w:cs="仿宋"/>
                <w:sz w:val="32"/>
                <w:szCs w:val="32"/>
              </w:rPr>
              <w:t>二等奖</w:t>
            </w:r>
          </w:p>
        </w:tc>
        <w:tc>
          <w:tcPr>
            <w:tcW w:w="145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rPr>
                <w:rFonts w:hint="eastAsia" w:ascii="仿宋" w:hAnsi="仿宋" w:eastAsia="仿宋" w:cs="仿宋"/>
                <w:sz w:val="32"/>
                <w:szCs w:val="32"/>
              </w:rPr>
            </w:pPr>
            <w:r>
              <w:rPr>
                <w:rFonts w:hint="eastAsia" w:ascii="仿宋" w:hAnsi="仿宋" w:eastAsia="仿宋" w:cs="仿宋"/>
                <w:sz w:val="32"/>
                <w:szCs w:val="32"/>
              </w:rPr>
              <w:t>三等奖</w:t>
            </w:r>
          </w:p>
        </w:tc>
        <w:tc>
          <w:tcPr>
            <w:tcW w:w="1680"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优秀奖</w:t>
            </w:r>
          </w:p>
        </w:tc>
      </w:tr>
      <w:tr>
        <w:tblPrEx>
          <w:tblCellMar>
            <w:top w:w="0" w:type="dxa"/>
            <w:left w:w="0" w:type="dxa"/>
            <w:bottom w:w="0" w:type="dxa"/>
            <w:right w:w="0" w:type="dxa"/>
          </w:tblCellMar>
        </w:tblPrEx>
        <w:trPr>
          <w:trHeight w:val="351" w:hRule="atLeast"/>
          <w:jc w:val="center"/>
        </w:trPr>
        <w:tc>
          <w:tcPr>
            <w:tcW w:w="186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国家级</w:t>
            </w:r>
          </w:p>
        </w:tc>
        <w:tc>
          <w:tcPr>
            <w:tcW w:w="153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50</w:t>
            </w:r>
          </w:p>
        </w:tc>
        <w:tc>
          <w:tcPr>
            <w:tcW w:w="139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40</w:t>
            </w:r>
          </w:p>
        </w:tc>
        <w:tc>
          <w:tcPr>
            <w:tcW w:w="145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30</w:t>
            </w:r>
          </w:p>
        </w:tc>
        <w:tc>
          <w:tcPr>
            <w:tcW w:w="1680"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p>
        </w:tc>
      </w:tr>
      <w:tr>
        <w:tblPrEx>
          <w:tblCellMar>
            <w:top w:w="0" w:type="dxa"/>
            <w:left w:w="0" w:type="dxa"/>
            <w:bottom w:w="0" w:type="dxa"/>
            <w:right w:w="0" w:type="dxa"/>
          </w:tblCellMar>
        </w:tblPrEx>
        <w:trPr>
          <w:trHeight w:val="36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省部级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w:t>
            </w:r>
          </w:p>
        </w:tc>
      </w:tr>
      <w:tr>
        <w:tblPrEx>
          <w:tblCellMar>
            <w:top w:w="0" w:type="dxa"/>
            <w:left w:w="0" w:type="dxa"/>
            <w:bottom w:w="0" w:type="dxa"/>
            <w:right w:w="0" w:type="dxa"/>
          </w:tblCellMar>
        </w:tblPrEx>
        <w:trPr>
          <w:trHeight w:val="332"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校级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30</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w:t>
            </w:r>
          </w:p>
        </w:tc>
      </w:tr>
      <w:tr>
        <w:tblPrEx>
          <w:tblCellMar>
            <w:top w:w="0" w:type="dxa"/>
            <w:left w:w="0" w:type="dxa"/>
            <w:bottom w:w="0" w:type="dxa"/>
            <w:right w:w="0" w:type="dxa"/>
          </w:tblCellMar>
        </w:tblPrEx>
        <w:trPr>
          <w:trHeight w:val="337" w:hRule="atLeast"/>
          <w:jc w:val="center"/>
        </w:trPr>
        <w:tc>
          <w:tcPr>
            <w:tcW w:w="186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院级</w:t>
            </w:r>
          </w:p>
        </w:tc>
        <w:tc>
          <w:tcPr>
            <w:tcW w:w="153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25</w:t>
            </w:r>
          </w:p>
        </w:tc>
        <w:tc>
          <w:tcPr>
            <w:tcW w:w="139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15</w:t>
            </w:r>
          </w:p>
        </w:tc>
        <w:tc>
          <w:tcPr>
            <w:tcW w:w="145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8</w:t>
            </w:r>
          </w:p>
        </w:tc>
        <w:tc>
          <w:tcPr>
            <w:tcW w:w="168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w:t>
            </w:r>
          </w:p>
        </w:tc>
      </w:tr>
    </w:tbl>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注：以上同一项活动，按最高项加分，不累计加分。</w:t>
      </w:r>
    </w:p>
    <w:p>
      <w:p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4.突出事迹</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模范遵守公民基本道德规范，在助人为乐、见义勇为、诚实守信、孝老爱亲</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抗击疫情</w:t>
      </w:r>
      <w:r>
        <w:rPr>
          <w:rFonts w:hint="eastAsia" w:ascii="仿宋" w:hAnsi="仿宋" w:eastAsia="仿宋" w:cs="仿宋"/>
          <w:sz w:val="32"/>
          <w:szCs w:val="32"/>
        </w:rPr>
        <w:t>等方面有突出事迹，在研究生群体中有较高认可度的。突出事迹的支撑材料为报道材料、奖励证书证明等。按突出事件社会影响力加分标准如下：</w:t>
      </w:r>
    </w:p>
    <w:tbl>
      <w:tblPr>
        <w:tblStyle w:val="3"/>
        <w:tblW w:w="0" w:type="auto"/>
        <w:tblInd w:w="5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4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tcBorders>
              <w:top w:val="single" w:color="auto" w:sz="8" w:space="0"/>
            </w:tcBorders>
            <w:shd w:val="clear" w:color="auto" w:fill="auto"/>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突出事迹影响力</w:t>
            </w:r>
          </w:p>
        </w:tc>
        <w:tc>
          <w:tcPr>
            <w:tcW w:w="4485" w:type="dxa"/>
            <w:tcBorders>
              <w:top w:val="single" w:color="auto" w:sz="8" w:space="0"/>
            </w:tcBorders>
            <w:shd w:val="clear" w:color="auto" w:fill="auto"/>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国家级</w:t>
            </w:r>
          </w:p>
        </w:tc>
        <w:tc>
          <w:tcPr>
            <w:tcW w:w="4485" w:type="dxa"/>
            <w:shd w:val="clear" w:color="auto" w:fill="auto"/>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省部级</w:t>
            </w:r>
          </w:p>
        </w:tc>
        <w:tc>
          <w:tcPr>
            <w:tcW w:w="4485" w:type="dxa"/>
            <w:shd w:val="clear" w:color="auto" w:fill="auto"/>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校级</w:t>
            </w:r>
          </w:p>
        </w:tc>
        <w:tc>
          <w:tcPr>
            <w:tcW w:w="4485" w:type="dxa"/>
            <w:shd w:val="clear" w:color="auto" w:fill="auto"/>
            <w:noWrap w:val="0"/>
            <w:vAlign w:val="center"/>
          </w:tcPr>
          <w:p>
            <w:pPr>
              <w:spacing w:line="560" w:lineRule="exact"/>
              <w:ind w:firstLine="640" w:firstLineChars="20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院级</w:t>
            </w:r>
          </w:p>
        </w:tc>
        <w:tc>
          <w:tcPr>
            <w:tcW w:w="4485" w:type="dxa"/>
            <w:shd w:val="clear" w:color="auto" w:fill="auto"/>
            <w:noWrap w:val="0"/>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10</w:t>
            </w:r>
          </w:p>
        </w:tc>
      </w:tr>
    </w:tbl>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注：以上同一项活动，按最高项加分，不累计加分。</w:t>
      </w:r>
    </w:p>
    <w:p>
      <w:pPr>
        <w:spacing w:line="560" w:lineRule="exact"/>
        <w:ind w:firstLine="643" w:firstLineChars="200"/>
        <w:rPr>
          <w:rFonts w:hint="eastAsia" w:ascii="黑体" w:hAnsi="黑体" w:eastAsia="黑体" w:cs="仿宋"/>
          <w:b/>
          <w:bCs/>
          <w:sz w:val="32"/>
          <w:szCs w:val="32"/>
        </w:rPr>
      </w:pPr>
      <w:r>
        <w:rPr>
          <w:rFonts w:hint="eastAsia" w:ascii="黑体" w:hAnsi="黑体" w:eastAsia="黑体" w:cs="仿宋"/>
          <w:b/>
          <w:bCs/>
          <w:sz w:val="32"/>
          <w:szCs w:val="32"/>
        </w:rPr>
        <w:t>二、服务贵州地方经济社会发展</w:t>
      </w:r>
    </w:p>
    <w:p>
      <w:p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1.志愿服务</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参评学年度参加过重大活动的志愿者工作，并获得服务单位的表彰，或者组织校级及以上层面志愿者活动并在其中担任主要负责人。如在贵州各地区开展的教育、文化、科技、扶贫及青年工作等方面的志愿服务。志愿服务活动的支持材料为服务单位的奖励证书、相关报道材料等。按照志愿服务的影响力加分标准如下：</w:t>
      </w:r>
    </w:p>
    <w:tbl>
      <w:tblPr>
        <w:tblStyle w:val="3"/>
        <w:tblW w:w="0" w:type="auto"/>
        <w:tblInd w:w="5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4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tcBorders>
              <w:top w:val="single" w:color="auto" w:sz="8" w:space="0"/>
            </w:tcBorders>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志愿服务影响力</w:t>
            </w:r>
          </w:p>
        </w:tc>
        <w:tc>
          <w:tcPr>
            <w:tcW w:w="445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国家级</w:t>
            </w:r>
          </w:p>
        </w:tc>
        <w:tc>
          <w:tcPr>
            <w:tcW w:w="445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省部级</w:t>
            </w:r>
          </w:p>
        </w:tc>
        <w:tc>
          <w:tcPr>
            <w:tcW w:w="445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校级</w:t>
            </w:r>
          </w:p>
        </w:tc>
        <w:tc>
          <w:tcPr>
            <w:tcW w:w="4455" w:type="dxa"/>
            <w:shd w:val="clear" w:color="auto" w:fill="auto"/>
            <w:noWrap w:val="0"/>
            <w:vAlign w:val="center"/>
          </w:tcPr>
          <w:p>
            <w:pPr>
              <w:spacing w:line="560" w:lineRule="exact"/>
              <w:jc w:val="center"/>
              <w:rPr>
                <w:rFonts w:hint="default" w:ascii="仿宋" w:hAnsi="仿宋" w:eastAsia="仿宋" w:cs="仿宋"/>
                <w:sz w:val="32"/>
                <w:szCs w:val="32"/>
                <w:lang w:val="en-US" w:eastAsia="zh-CN"/>
              </w:rPr>
            </w:pPr>
            <w:r>
              <w:rPr>
                <w:rFonts w:hint="eastAsia" w:ascii="仿宋" w:hAnsi="仿宋" w:eastAsia="仿宋" w:cs="仿宋"/>
                <w:color w:val="000000"/>
                <w:sz w:val="32"/>
                <w:szCs w:val="32"/>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院级</w:t>
            </w:r>
          </w:p>
        </w:tc>
        <w:tc>
          <w:tcPr>
            <w:tcW w:w="445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10</w:t>
            </w:r>
          </w:p>
        </w:tc>
      </w:tr>
    </w:tbl>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注：以上同一项活动，按</w:t>
      </w:r>
      <w:r>
        <w:rPr>
          <w:rFonts w:hint="eastAsia" w:ascii="仿宋" w:hAnsi="仿宋" w:eastAsia="仿宋" w:cs="仿宋"/>
          <w:color w:val="000000"/>
          <w:sz w:val="32"/>
          <w:szCs w:val="32"/>
        </w:rPr>
        <w:t>志愿服务影响力最大的加分</w:t>
      </w:r>
      <w:r>
        <w:rPr>
          <w:rFonts w:hint="eastAsia" w:ascii="仿宋" w:hAnsi="仿宋" w:eastAsia="仿宋" w:cs="仿宋"/>
          <w:sz w:val="32"/>
          <w:szCs w:val="32"/>
        </w:rPr>
        <w:t>，不累计加分。</w:t>
      </w:r>
    </w:p>
    <w:p>
      <w:p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2.地方贡献</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地方贡献=基层技术服务分值+技术成果推广分值+技术改进分值</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地方贡献按照基层技术服务、技术成果推广及技术改进三个部分进行参评，评价标准应结合实际各个部分所产生的实际效益。申请者需提供相关证明材料，技术改进应提供相应公司的证明，基层技术服务和技术成果推广应提供当地政府或学校证明。地方贡献各部分的分值见如下：</w:t>
      </w:r>
    </w:p>
    <w:tbl>
      <w:tblPr>
        <w:tblStyle w:val="3"/>
        <w:tblW w:w="0" w:type="auto"/>
        <w:tblInd w:w="5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5"/>
        <w:gridCol w:w="4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tcBorders>
              <w:top w:val="single" w:color="auto" w:sz="8" w:space="0"/>
            </w:tcBorders>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参评部分</w:t>
            </w:r>
          </w:p>
        </w:tc>
        <w:tc>
          <w:tcPr>
            <w:tcW w:w="4454" w:type="dxa"/>
            <w:tcBorders>
              <w:top w:val="single" w:color="auto" w:sz="8" w:space="0"/>
            </w:tcBorders>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基层技术服务</w:t>
            </w:r>
          </w:p>
        </w:tc>
        <w:tc>
          <w:tcPr>
            <w:tcW w:w="4454"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技术成果推广</w:t>
            </w:r>
          </w:p>
        </w:tc>
        <w:tc>
          <w:tcPr>
            <w:tcW w:w="4454"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5"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技术改进</w:t>
            </w:r>
          </w:p>
        </w:tc>
        <w:tc>
          <w:tcPr>
            <w:tcW w:w="4454" w:type="dxa"/>
            <w:shd w:val="clear" w:color="auto" w:fill="auto"/>
            <w:noWrap w:val="0"/>
            <w:vAlign w:val="center"/>
          </w:tcPr>
          <w:p>
            <w:pPr>
              <w:spacing w:line="560" w:lineRule="exact"/>
              <w:jc w:val="center"/>
              <w:rPr>
                <w:rFonts w:hint="eastAsia" w:ascii="仿宋" w:hAnsi="仿宋" w:eastAsia="仿宋" w:cs="仿宋"/>
                <w:sz w:val="32"/>
                <w:szCs w:val="32"/>
              </w:rPr>
            </w:pPr>
            <w:r>
              <w:rPr>
                <w:rFonts w:hint="eastAsia" w:ascii="仿宋" w:hAnsi="仿宋" w:eastAsia="仿宋" w:cs="仿宋"/>
                <w:color w:val="000000"/>
                <w:sz w:val="32"/>
                <w:szCs w:val="32"/>
              </w:rPr>
              <w:t>40</w:t>
            </w:r>
          </w:p>
        </w:tc>
      </w:tr>
    </w:tbl>
    <w:p>
      <w:pPr>
        <w:spacing w:line="560" w:lineRule="exact"/>
        <w:ind w:firstLine="643" w:firstLineChars="200"/>
        <w:rPr>
          <w:rFonts w:hint="eastAsia" w:ascii="黑体" w:hAnsi="黑体" w:eastAsia="黑体" w:cs="仿宋"/>
          <w:b/>
          <w:bCs/>
          <w:sz w:val="32"/>
          <w:szCs w:val="32"/>
        </w:rPr>
      </w:pPr>
      <w:r>
        <w:rPr>
          <w:rFonts w:hint="eastAsia" w:ascii="黑体" w:hAnsi="黑体" w:eastAsia="黑体" w:cs="仿宋"/>
          <w:b/>
          <w:bCs/>
          <w:sz w:val="32"/>
          <w:szCs w:val="32"/>
        </w:rPr>
        <w:t>三、科技创新和科学研究</w:t>
      </w:r>
    </w:p>
    <w:p>
      <w:p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1.创新创业竞赛</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创新创业竞赛是指学生参加的中国“互联网+”大学生创新创业大赛、“挑战杯”中国大学生创业计划大赛等。创新创业竞赛的支撑材料为获奖证书。根据获奖级别加分标准如下：</w:t>
      </w:r>
    </w:p>
    <w:tbl>
      <w:tblPr>
        <w:tblStyle w:val="3"/>
        <w:tblW w:w="0" w:type="auto"/>
        <w:jc w:val="center"/>
        <w:tblLayout w:type="fixed"/>
        <w:tblCellMar>
          <w:top w:w="0" w:type="dxa"/>
          <w:left w:w="0" w:type="dxa"/>
          <w:bottom w:w="0" w:type="dxa"/>
          <w:right w:w="0" w:type="dxa"/>
        </w:tblCellMar>
      </w:tblPr>
      <w:tblGrid>
        <w:gridCol w:w="1759"/>
        <w:gridCol w:w="1485"/>
        <w:gridCol w:w="1487"/>
        <w:gridCol w:w="1484"/>
        <w:gridCol w:w="1485"/>
      </w:tblGrid>
      <w:tr>
        <w:tblPrEx>
          <w:tblCellMar>
            <w:top w:w="0" w:type="dxa"/>
            <w:left w:w="0" w:type="dxa"/>
            <w:bottom w:w="0" w:type="dxa"/>
            <w:right w:w="0" w:type="dxa"/>
          </w:tblCellMar>
        </w:tblPrEx>
        <w:trPr>
          <w:trHeight w:val="635" w:hRule="atLeast"/>
          <w:jc w:val="center"/>
        </w:trPr>
        <w:tc>
          <w:tcPr>
            <w:tcW w:w="1759"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pPr>
              <w:spacing w:line="560" w:lineRule="exact"/>
              <w:ind w:firstLine="640" w:firstLineChars="200"/>
              <w:jc w:val="center"/>
              <w:rPr>
                <w:rFonts w:hint="eastAsia" w:ascii="仿宋" w:hAnsi="仿宋" w:eastAsia="仿宋" w:cs="仿宋"/>
                <w:sz w:val="32"/>
                <w:szCs w:val="32"/>
              </w:rPr>
            </w:pPr>
            <w:r>
              <w:rPr>
                <w:rFonts w:hint="eastAsia" w:ascii="仿宋" w:hAnsi="仿宋" w:eastAsia="仿宋" w:cs="仿宋"/>
                <w:sz w:val="32"/>
                <w:szCs w:val="32"/>
              </w:rPr>
              <w:t xml:space="preserve"> 等次</w:t>
            </w:r>
          </w:p>
          <w:p>
            <w:pPr>
              <w:spacing w:line="560" w:lineRule="exact"/>
              <w:rPr>
                <w:rFonts w:hint="eastAsia" w:ascii="仿宋" w:hAnsi="仿宋" w:eastAsia="仿宋" w:cs="仿宋"/>
                <w:sz w:val="32"/>
                <w:szCs w:val="32"/>
              </w:rPr>
            </w:pPr>
            <w:r>
              <w:rPr>
                <w:rFonts w:hint="eastAsia" w:ascii="仿宋" w:hAnsi="仿宋" w:eastAsia="仿宋" w:cs="仿宋"/>
                <w:sz w:val="32"/>
                <w:szCs w:val="32"/>
              </w:rPr>
              <w:t>获奖级别</w:t>
            </w:r>
          </w:p>
        </w:tc>
        <w:tc>
          <w:tcPr>
            <w:tcW w:w="148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一等奖</w:t>
            </w:r>
          </w:p>
        </w:tc>
        <w:tc>
          <w:tcPr>
            <w:tcW w:w="1487"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二等奖</w:t>
            </w:r>
          </w:p>
        </w:tc>
        <w:tc>
          <w:tcPr>
            <w:tcW w:w="1484"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三等奖</w:t>
            </w:r>
          </w:p>
        </w:tc>
        <w:tc>
          <w:tcPr>
            <w:tcW w:w="148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优秀奖</w:t>
            </w:r>
          </w:p>
        </w:tc>
      </w:tr>
      <w:tr>
        <w:tblPrEx>
          <w:tblCellMar>
            <w:top w:w="0" w:type="dxa"/>
            <w:left w:w="0" w:type="dxa"/>
            <w:bottom w:w="0" w:type="dxa"/>
            <w:right w:w="0" w:type="dxa"/>
          </w:tblCellMar>
        </w:tblPrEx>
        <w:trPr>
          <w:trHeight w:val="376" w:hRule="atLeast"/>
          <w:jc w:val="center"/>
        </w:trPr>
        <w:tc>
          <w:tcPr>
            <w:tcW w:w="1759"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国家级</w:t>
            </w:r>
          </w:p>
        </w:tc>
        <w:tc>
          <w:tcPr>
            <w:tcW w:w="148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50</w:t>
            </w:r>
          </w:p>
        </w:tc>
        <w:tc>
          <w:tcPr>
            <w:tcW w:w="1487"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40</w:t>
            </w:r>
          </w:p>
        </w:tc>
        <w:tc>
          <w:tcPr>
            <w:tcW w:w="1484"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30</w:t>
            </w:r>
          </w:p>
        </w:tc>
        <w:tc>
          <w:tcPr>
            <w:tcW w:w="148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p>
        </w:tc>
      </w:tr>
      <w:tr>
        <w:tblPrEx>
          <w:tblCellMar>
            <w:top w:w="0" w:type="dxa"/>
            <w:left w:w="0" w:type="dxa"/>
            <w:bottom w:w="0" w:type="dxa"/>
            <w:right w:w="0" w:type="dxa"/>
          </w:tblCellMar>
        </w:tblPrEx>
        <w:trPr>
          <w:trHeight w:val="402" w:hRule="atLeast"/>
          <w:jc w:val="center"/>
        </w:trPr>
        <w:tc>
          <w:tcPr>
            <w:tcW w:w="175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省部级</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40</w:t>
            </w:r>
          </w:p>
        </w:tc>
        <w:tc>
          <w:tcPr>
            <w:tcW w:w="148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30</w:t>
            </w:r>
          </w:p>
        </w:tc>
        <w:tc>
          <w:tcPr>
            <w:tcW w:w="148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w:t>
            </w:r>
          </w:p>
        </w:tc>
      </w:tr>
      <w:tr>
        <w:tblPrEx>
          <w:tblCellMar>
            <w:top w:w="0" w:type="dxa"/>
            <w:left w:w="0" w:type="dxa"/>
            <w:bottom w:w="0" w:type="dxa"/>
            <w:right w:w="0" w:type="dxa"/>
          </w:tblCellMar>
        </w:tblPrEx>
        <w:trPr>
          <w:trHeight w:val="387" w:hRule="atLeast"/>
          <w:jc w:val="center"/>
        </w:trPr>
        <w:tc>
          <w:tcPr>
            <w:tcW w:w="175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校级</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30</w:t>
            </w:r>
          </w:p>
        </w:tc>
        <w:tc>
          <w:tcPr>
            <w:tcW w:w="148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p>
        </w:tc>
        <w:tc>
          <w:tcPr>
            <w:tcW w:w="148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w:t>
            </w:r>
          </w:p>
        </w:tc>
      </w:tr>
      <w:tr>
        <w:tblPrEx>
          <w:tblCellMar>
            <w:top w:w="0" w:type="dxa"/>
            <w:left w:w="0" w:type="dxa"/>
            <w:bottom w:w="0" w:type="dxa"/>
            <w:right w:w="0" w:type="dxa"/>
          </w:tblCellMar>
        </w:tblPrEx>
        <w:trPr>
          <w:trHeight w:val="352" w:hRule="atLeast"/>
          <w:jc w:val="center"/>
        </w:trPr>
        <w:tc>
          <w:tcPr>
            <w:tcW w:w="1759"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320" w:firstLineChars="100"/>
              <w:rPr>
                <w:rFonts w:hint="eastAsia" w:ascii="仿宋" w:hAnsi="仿宋" w:eastAsia="仿宋" w:cs="仿宋"/>
                <w:sz w:val="32"/>
                <w:szCs w:val="32"/>
              </w:rPr>
            </w:pPr>
            <w:r>
              <w:rPr>
                <w:rFonts w:hint="eastAsia" w:ascii="仿宋" w:hAnsi="仿宋" w:eastAsia="仿宋" w:cs="仿宋"/>
                <w:sz w:val="32"/>
                <w:szCs w:val="32"/>
              </w:rPr>
              <w:t>院级</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15</w:t>
            </w:r>
          </w:p>
        </w:tc>
        <w:tc>
          <w:tcPr>
            <w:tcW w:w="148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w:t>
            </w:r>
          </w:p>
        </w:tc>
        <w:tc>
          <w:tcPr>
            <w:tcW w:w="148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w:t>
            </w:r>
          </w:p>
        </w:tc>
        <w:tc>
          <w:tcPr>
            <w:tcW w:w="148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w:t>
            </w:r>
          </w:p>
        </w:tc>
      </w:tr>
    </w:tbl>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注：获奖第一署名单位须为贵州大学，以团体获奖</w:t>
      </w:r>
      <w:r>
        <w:rPr>
          <w:rFonts w:hint="eastAsia" w:ascii="仿宋" w:hAnsi="仿宋" w:eastAsia="仿宋" w:cs="仿宋"/>
          <w:sz w:val="32"/>
          <w:szCs w:val="32"/>
          <w:lang w:val="en-US" w:eastAsia="zh-CN"/>
        </w:rPr>
        <w:t>第一作者加所得分值的100%，第二作者加50%，第三作者加25%，第四作者加5%，其余不加分。</w:t>
      </w:r>
    </w:p>
    <w:p>
      <w:pPr>
        <w:numPr>
          <w:ilvl w:val="0"/>
          <w:numId w:val="1"/>
        </w:num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创业</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创业分值 = 实际效益分值 + 提供就业岗位数分值 + 注册资本分值</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创业部分按照创业公司的实际效益、提供就业岗位数和注册资本三个部分进行参评，各参评部分各占比重分别为40%、40%和20%。计算方式为以参加申请对象中的最大值缩放到100进行百分比计算。如有3个申请对象，其注册资本分别为A:20万、B:15万和C:10万，则计算方法为：</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A: 200000/2000=100，100×20%=20</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B: 150000/2000=75，75×20%=15</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C: 100000/2000=50，50×20%=10</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公司实际效益和提供就业岗位数也按照同样的方法进行计算，分别得出公司实际效益和提供就业岗位数的分值，最终将各部分进行相加得到创业部分的分值。</w:t>
      </w:r>
    </w:p>
    <w:p>
      <w:pPr>
        <w:pStyle w:val="2"/>
        <w:numPr>
          <w:ilvl w:val="0"/>
          <w:numId w:val="2"/>
        </w:numPr>
        <w:snapToGrid w:val="0"/>
        <w:spacing w:line="560" w:lineRule="exact"/>
        <w:ind w:firstLine="643" w:firstLineChars="200"/>
        <w:rPr>
          <w:rFonts w:hint="eastAsia" w:ascii="黑体" w:hAnsi="黑体" w:eastAsia="黑体" w:cs="仿宋"/>
          <w:b/>
          <w:bCs/>
          <w:sz w:val="32"/>
          <w:szCs w:val="32"/>
        </w:rPr>
      </w:pPr>
      <w:r>
        <w:rPr>
          <w:rFonts w:hint="eastAsia" w:ascii="黑体" w:hAnsi="黑体" w:eastAsia="黑体" w:cs="仿宋"/>
          <w:b/>
          <w:bCs/>
          <w:sz w:val="32"/>
          <w:szCs w:val="32"/>
        </w:rPr>
        <w:t>社会工作和社会活动</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主要奖励管理能力较强、投入时间多，在社会工作中取得突出成绩的研究生干部。社会工作和社会活动成绩由担任社会职务和参加社会活动获奖两部分组成，各部分具体评价标准如下：</w:t>
      </w:r>
    </w:p>
    <w:p>
      <w:p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1.社会职务</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热心社会工作，在评选年度内担任研究生干部，积极完成交给组织交给的各项任务，有较强的工作能力和组织能力，工作成绩突出；在同学中有群众基础和较高威信，并能起到模范带头作用，工作勤恳有实效。根据担任职务级别加分标准如下：</w:t>
      </w:r>
    </w:p>
    <w:tbl>
      <w:tblPr>
        <w:tblStyle w:val="3"/>
        <w:tblpPr w:leftFromText="180" w:rightFromText="180" w:vertAnchor="text" w:horzAnchor="page" w:tblpXSpec="center" w:tblpY="105"/>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91"/>
        <w:gridCol w:w="922"/>
        <w:gridCol w:w="922"/>
        <w:gridCol w:w="922"/>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893"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pPr>
              <w:spacing w:line="360" w:lineRule="auto"/>
              <w:ind w:firstLine="240" w:firstLineChars="100"/>
              <w:rPr>
                <w:rFonts w:ascii="仿宋" w:hAnsi="仿宋" w:eastAsia="仿宋" w:cs="仿宋"/>
                <w:sz w:val="24"/>
              </w:rPr>
            </w:pPr>
            <w:r>
              <w:rPr>
                <w:rFonts w:hint="eastAsia" w:ascii="仿宋" w:hAnsi="仿宋" w:eastAsia="仿宋" w:cs="仿宋"/>
                <w:sz w:val="24"/>
                <w:lang w:bidi="ar"/>
              </w:rPr>
              <w:t xml:space="preserve">  </w:t>
            </w:r>
            <w:r>
              <w:rPr>
                <w:rFonts w:ascii="仿宋" w:hAnsi="仿宋" w:eastAsia="仿宋" w:cs="仿宋"/>
                <w:sz w:val="24"/>
                <w:lang w:bidi="ar"/>
              </w:rPr>
              <w:t xml:space="preserve">                          </w:t>
            </w:r>
            <w:r>
              <w:rPr>
                <w:rFonts w:hint="eastAsia" w:ascii="仿宋" w:hAnsi="仿宋" w:eastAsia="仿宋" w:cs="仿宋"/>
                <w:sz w:val="24"/>
                <w:lang w:bidi="ar"/>
              </w:rPr>
              <w:t xml:space="preserve"> 评价</w:t>
            </w:r>
          </w:p>
          <w:p>
            <w:pPr>
              <w:spacing w:line="360" w:lineRule="auto"/>
              <w:rPr>
                <w:rFonts w:ascii="仿宋" w:hAnsi="仿宋" w:eastAsia="仿宋" w:cs="仿宋"/>
                <w:sz w:val="24"/>
              </w:rPr>
            </w:pPr>
            <w:r>
              <w:rPr>
                <w:rFonts w:hint="eastAsia" w:ascii="仿宋" w:hAnsi="仿宋" w:eastAsia="仿宋" w:cs="仿宋"/>
                <w:sz w:val="24"/>
                <w:lang w:bidi="ar"/>
              </w:rPr>
              <w:t>担任职务</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sz w:val="24"/>
              </w:rPr>
            </w:pPr>
            <w:r>
              <w:rPr>
                <w:rFonts w:hint="eastAsia" w:ascii="仿宋" w:hAnsi="仿宋" w:eastAsia="仿宋" w:cs="仿宋"/>
                <w:sz w:val="24"/>
                <w:lang w:bidi="ar"/>
              </w:rPr>
              <w:t>优秀</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sz w:val="24"/>
              </w:rPr>
            </w:pPr>
            <w:r>
              <w:rPr>
                <w:rFonts w:hint="eastAsia" w:ascii="仿宋" w:hAnsi="仿宋" w:eastAsia="仿宋" w:cs="仿宋"/>
                <w:sz w:val="24"/>
                <w:lang w:bidi="ar"/>
              </w:rPr>
              <w:t>良好</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sz w:val="24"/>
                <w:lang w:bidi="ar"/>
              </w:rPr>
            </w:pPr>
            <w:r>
              <w:rPr>
                <w:rFonts w:hint="eastAsia" w:ascii="仿宋" w:hAnsi="仿宋" w:eastAsia="仿宋" w:cs="仿宋"/>
                <w:sz w:val="24"/>
                <w:lang w:bidi="ar"/>
              </w:rPr>
              <w:t>合格</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sz w:val="24"/>
              </w:rPr>
            </w:pPr>
            <w:r>
              <w:rPr>
                <w:rFonts w:hint="eastAsia" w:ascii="仿宋" w:hAnsi="仿宋" w:eastAsia="仿宋" w:cs="仿宋"/>
                <w:sz w:val="22"/>
                <w:szCs w:val="22"/>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exact"/>
          <w:jc w:val="center"/>
        </w:trPr>
        <w:tc>
          <w:tcPr>
            <w:tcW w:w="2893"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560" w:lineRule="exact"/>
              <w:rPr>
                <w:rFonts w:ascii="仿宋" w:hAnsi="仿宋" w:eastAsia="仿宋" w:cs="仿宋"/>
                <w:sz w:val="24"/>
              </w:rPr>
            </w:pPr>
            <w:r>
              <w:rPr>
                <w:rFonts w:hint="eastAsia" w:ascii="仿宋" w:hAnsi="仿宋" w:eastAsia="仿宋" w:cs="仿宋"/>
                <w:sz w:val="24"/>
              </w:rPr>
              <w:t>校研会主席/副主席、校博会主席/副主席、</w:t>
            </w:r>
            <w:r>
              <w:rPr>
                <w:rFonts w:hint="eastAsia" w:ascii="仿宋" w:hAnsi="仿宋" w:eastAsia="仿宋" w:cs="仿宋"/>
                <w:color w:val="FF0000"/>
                <w:sz w:val="24"/>
                <w:lang w:bidi="ar"/>
              </w:rPr>
              <w:t>研究生兼职辅导员</w:t>
            </w:r>
            <w:r>
              <w:rPr>
                <w:rFonts w:hint="eastAsia" w:ascii="仿宋" w:hAnsi="仿宋" w:eastAsia="仿宋" w:cs="仿宋"/>
                <w:sz w:val="24"/>
                <w:lang w:bidi="ar"/>
              </w:rPr>
              <w:t>、院研会主席、院团总支书记、党支部书记</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rPr>
              <w:t>50</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bidi="ar"/>
              </w:rPr>
              <w:t>30</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sz w:val="24"/>
                <w:lang w:val="en-US" w:eastAsia="zh-CN" w:bidi="ar"/>
              </w:rPr>
            </w:pPr>
            <w:r>
              <w:rPr>
                <w:rFonts w:hint="eastAsia" w:ascii="仿宋" w:hAnsi="仿宋" w:eastAsia="仿宋" w:cs="仿宋"/>
                <w:sz w:val="24"/>
                <w:lang w:val="en-US" w:eastAsia="zh-CN" w:bidi="ar"/>
              </w:rPr>
              <w:t>15</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sz w:val="24"/>
              </w:rPr>
            </w:pPr>
            <w:r>
              <w:rPr>
                <w:rFonts w:hint="eastAsia" w:ascii="仿宋" w:hAnsi="仿宋" w:eastAsia="仿宋" w:cs="仿宋"/>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exact"/>
          <w:jc w:val="center"/>
        </w:trPr>
        <w:tc>
          <w:tcPr>
            <w:tcW w:w="28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仿宋" w:hAnsi="仿宋" w:eastAsia="仿宋" w:cs="仿宋"/>
                <w:sz w:val="24"/>
              </w:rPr>
            </w:pPr>
            <w:r>
              <w:rPr>
                <w:rFonts w:hint="eastAsia" w:ascii="仿宋" w:hAnsi="仿宋" w:eastAsia="仿宋" w:cs="仿宋"/>
                <w:sz w:val="24"/>
                <w:lang w:bidi="ar"/>
              </w:rPr>
              <w:t>校职能部门（含院）各学生组织干部、党支部委员</w:t>
            </w:r>
            <w:r>
              <w:rPr>
                <w:rFonts w:hint="eastAsia" w:ascii="仿宋" w:hAnsi="仿宋" w:eastAsia="仿宋" w:cs="仿宋"/>
                <w:sz w:val="24"/>
                <w:lang w:eastAsia="zh-CN" w:bidi="ar"/>
              </w:rPr>
              <w:t>（</w:t>
            </w:r>
            <w:r>
              <w:rPr>
                <w:rFonts w:hint="eastAsia" w:ascii="仿宋" w:hAnsi="仿宋" w:eastAsia="仿宋" w:cs="仿宋"/>
                <w:sz w:val="24"/>
                <w:lang w:val="en-US" w:eastAsia="zh-CN" w:bidi="ar"/>
              </w:rPr>
              <w:t>含楼栋功能性党支部）</w:t>
            </w:r>
            <w:r>
              <w:rPr>
                <w:rFonts w:hint="eastAsia" w:ascii="仿宋" w:hAnsi="仿宋" w:eastAsia="仿宋" w:cs="仿宋"/>
                <w:sz w:val="24"/>
                <w:lang w:bidi="ar"/>
              </w:rPr>
              <w:t>、各班班长、团支书</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bidi="ar"/>
              </w:rPr>
              <w:t>30</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bidi="ar"/>
              </w:rPr>
              <w:t>15</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仿宋"/>
                <w:sz w:val="24"/>
                <w:lang w:eastAsia="zh-CN" w:bidi="ar"/>
              </w:rPr>
            </w:pPr>
            <w:r>
              <w:rPr>
                <w:rFonts w:hint="eastAsia" w:ascii="仿宋" w:hAnsi="仿宋" w:eastAsia="仿宋" w:cs="仿宋"/>
                <w:sz w:val="24"/>
                <w:lang w:val="en-US" w:eastAsia="zh-CN" w:bidi="ar"/>
              </w:rPr>
              <w:t>8</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sz w:val="24"/>
              </w:rPr>
            </w:pPr>
            <w:r>
              <w:rPr>
                <w:rFonts w:hint="eastAsia" w:ascii="仿宋" w:hAnsi="仿宋" w:eastAsia="仿宋" w:cs="仿宋"/>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exact"/>
          <w:jc w:val="center"/>
        </w:trPr>
        <w:tc>
          <w:tcPr>
            <w:tcW w:w="28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jc w:val="left"/>
              <w:rPr>
                <w:rFonts w:ascii="仿宋" w:hAnsi="仿宋" w:eastAsia="仿宋" w:cs="仿宋"/>
                <w:sz w:val="24"/>
              </w:rPr>
            </w:pPr>
            <w:r>
              <w:rPr>
                <w:rFonts w:hint="eastAsia" w:ascii="仿宋" w:hAnsi="仿宋" w:eastAsia="仿宋" w:cs="仿宋"/>
                <w:sz w:val="24"/>
                <w:lang w:bidi="ar"/>
              </w:rPr>
              <w:t>其他学生干部以及各级组织干事。</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bidi="ar"/>
              </w:rPr>
              <w:t>20</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default" w:ascii="仿宋" w:hAnsi="仿宋" w:eastAsia="仿宋" w:cs="仿宋"/>
                <w:sz w:val="24"/>
                <w:lang w:val="en-US" w:eastAsia="zh-CN"/>
              </w:rPr>
            </w:pPr>
            <w:r>
              <w:rPr>
                <w:rFonts w:hint="eastAsia" w:ascii="仿宋" w:hAnsi="仿宋" w:eastAsia="仿宋" w:cs="仿宋"/>
                <w:sz w:val="24"/>
                <w:lang w:val="en-US" w:eastAsia="zh-CN" w:bidi="ar"/>
              </w:rPr>
              <w:t>10</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hint="eastAsia" w:ascii="仿宋" w:hAnsi="仿宋" w:eastAsia="仿宋" w:cs="仿宋"/>
                <w:sz w:val="24"/>
                <w:lang w:eastAsia="zh-CN" w:bidi="ar"/>
              </w:rPr>
            </w:pPr>
            <w:r>
              <w:rPr>
                <w:rFonts w:hint="eastAsia" w:ascii="仿宋" w:hAnsi="仿宋" w:eastAsia="仿宋" w:cs="仿宋"/>
                <w:sz w:val="24"/>
                <w:lang w:val="en-US" w:eastAsia="zh-CN" w:bidi="ar"/>
              </w:rPr>
              <w:t>5</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sz w:val="24"/>
              </w:rPr>
            </w:pPr>
            <w:r>
              <w:rPr>
                <w:rFonts w:hint="eastAsia" w:ascii="仿宋" w:hAnsi="仿宋" w:eastAsia="仿宋" w:cs="仿宋"/>
                <w:sz w:val="24"/>
                <w:lang w:bidi="ar"/>
              </w:rPr>
              <w:t>0</w:t>
            </w:r>
          </w:p>
        </w:tc>
      </w:tr>
    </w:tbl>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注：“担任职务栏”以最高级别计，不重复计分；优秀比例不超过30%。</w:t>
      </w:r>
    </w:p>
    <w:p>
      <w:pPr>
        <w:spacing w:line="560" w:lineRule="exact"/>
        <w:ind w:firstLine="640" w:firstLineChars="200"/>
        <w:rPr>
          <w:rFonts w:hint="eastAsia" w:ascii="仿宋" w:hAnsi="仿宋" w:eastAsia="仿宋" w:cs="仿宋"/>
          <w:sz w:val="32"/>
          <w:szCs w:val="32"/>
        </w:rPr>
      </w:pPr>
    </w:p>
    <w:p>
      <w:pPr>
        <w:spacing w:line="560" w:lineRule="exact"/>
        <w:ind w:firstLine="640" w:firstLineChars="200"/>
        <w:rPr>
          <w:rFonts w:hint="eastAsia" w:ascii="仿宋" w:hAnsi="仿宋" w:eastAsia="仿宋" w:cs="仿宋"/>
          <w:sz w:val="32"/>
          <w:szCs w:val="32"/>
        </w:rPr>
      </w:pPr>
    </w:p>
    <w:p>
      <w:pPr>
        <w:spacing w:line="560" w:lineRule="exact"/>
        <w:ind w:firstLine="640" w:firstLineChars="200"/>
        <w:rPr>
          <w:rFonts w:hint="eastAsia" w:ascii="楷体_GB2312" w:hAnsi="仿宋" w:eastAsia="楷体_GB2312" w:cs="仿宋"/>
          <w:sz w:val="32"/>
          <w:szCs w:val="32"/>
        </w:rPr>
      </w:pPr>
      <w:r>
        <w:rPr>
          <w:rFonts w:hint="eastAsia" w:ascii="楷体_GB2312" w:hAnsi="仿宋" w:eastAsia="楷体_GB2312" w:cs="仿宋"/>
          <w:sz w:val="32"/>
          <w:szCs w:val="32"/>
        </w:rPr>
        <w:t>2.活动获奖</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积极组织研究生参加健康有益的各类活动，收到较好效果并获得奖项；带头参加由学校、学院或班级等组织的各项活动并获得奖项；组织校级及以上层面活动，活动中积极主动，有良好表现并在其中担任主要负责人者。按照活动级别加分标准如下：</w:t>
      </w:r>
    </w:p>
    <w:tbl>
      <w:tblPr>
        <w:tblStyle w:val="3"/>
        <w:tblW w:w="0" w:type="auto"/>
        <w:jc w:val="center"/>
        <w:tblLayout w:type="fixed"/>
        <w:tblCellMar>
          <w:top w:w="0" w:type="dxa"/>
          <w:left w:w="0" w:type="dxa"/>
          <w:bottom w:w="0" w:type="dxa"/>
          <w:right w:w="0" w:type="dxa"/>
        </w:tblCellMar>
      </w:tblPr>
      <w:tblGrid>
        <w:gridCol w:w="1918"/>
        <w:gridCol w:w="1408"/>
        <w:gridCol w:w="1545"/>
        <w:gridCol w:w="1575"/>
        <w:gridCol w:w="1590"/>
      </w:tblGrid>
      <w:tr>
        <w:tblPrEx>
          <w:tblCellMar>
            <w:top w:w="0" w:type="dxa"/>
            <w:left w:w="0" w:type="dxa"/>
            <w:bottom w:w="0" w:type="dxa"/>
            <w:right w:w="0" w:type="dxa"/>
          </w:tblCellMar>
        </w:tblPrEx>
        <w:trPr>
          <w:trHeight w:val="575" w:hRule="atLeast"/>
          <w:jc w:val="center"/>
        </w:trPr>
        <w:tc>
          <w:tcPr>
            <w:tcW w:w="1918" w:type="dxa"/>
            <w:tcBorders>
              <w:top w:val="single" w:color="auto" w:sz="8" w:space="0"/>
              <w:left w:val="single" w:color="auto" w:sz="4" w:space="0"/>
              <w:bottom w:val="single" w:color="auto" w:sz="4" w:space="0"/>
              <w:right w:val="single" w:color="auto" w:sz="4" w:space="0"/>
              <w:tl2br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 等次</w:t>
            </w:r>
          </w:p>
          <w:p>
            <w:pPr>
              <w:spacing w:line="560" w:lineRule="exact"/>
              <w:rPr>
                <w:rFonts w:hint="eastAsia" w:ascii="仿宋" w:hAnsi="仿宋" w:eastAsia="仿宋" w:cs="仿宋"/>
                <w:sz w:val="32"/>
                <w:szCs w:val="32"/>
              </w:rPr>
            </w:pPr>
            <w:r>
              <w:rPr>
                <w:rFonts w:hint="eastAsia" w:ascii="仿宋" w:hAnsi="仿宋" w:eastAsia="仿宋" w:cs="仿宋"/>
                <w:sz w:val="32"/>
                <w:szCs w:val="32"/>
              </w:rPr>
              <w:t>获奖级别</w:t>
            </w:r>
          </w:p>
        </w:tc>
        <w:tc>
          <w:tcPr>
            <w:tcW w:w="1408"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一等奖</w:t>
            </w:r>
          </w:p>
        </w:tc>
        <w:tc>
          <w:tcPr>
            <w:tcW w:w="154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二等奖</w:t>
            </w:r>
          </w:p>
        </w:tc>
        <w:tc>
          <w:tcPr>
            <w:tcW w:w="1575"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三等奖</w:t>
            </w:r>
          </w:p>
        </w:tc>
        <w:tc>
          <w:tcPr>
            <w:tcW w:w="1590" w:type="dxa"/>
            <w:tcBorders>
              <w:top w:val="single" w:color="auto" w:sz="8"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jc w:val="center"/>
              <w:rPr>
                <w:rFonts w:hint="eastAsia" w:ascii="仿宋" w:hAnsi="仿宋" w:eastAsia="仿宋" w:cs="仿宋"/>
                <w:sz w:val="32"/>
                <w:szCs w:val="32"/>
              </w:rPr>
            </w:pPr>
            <w:r>
              <w:rPr>
                <w:rFonts w:hint="eastAsia" w:ascii="仿宋" w:hAnsi="仿宋" w:eastAsia="仿宋" w:cs="仿宋"/>
                <w:sz w:val="32"/>
                <w:szCs w:val="32"/>
              </w:rPr>
              <w:t>优秀奖</w:t>
            </w:r>
          </w:p>
        </w:tc>
      </w:tr>
      <w:tr>
        <w:tblPrEx>
          <w:tblCellMar>
            <w:top w:w="0" w:type="dxa"/>
            <w:left w:w="0" w:type="dxa"/>
            <w:bottom w:w="0" w:type="dxa"/>
            <w:right w:w="0" w:type="dxa"/>
          </w:tblCellMar>
        </w:tblPrEx>
        <w:trPr>
          <w:trHeight w:val="361" w:hRule="atLeast"/>
          <w:jc w:val="center"/>
        </w:trPr>
        <w:tc>
          <w:tcPr>
            <w:tcW w:w="191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国家级</w:t>
            </w:r>
          </w:p>
        </w:tc>
        <w:tc>
          <w:tcPr>
            <w:tcW w:w="1408"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50</w:t>
            </w:r>
          </w:p>
        </w:tc>
        <w:tc>
          <w:tcPr>
            <w:tcW w:w="154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40</w:t>
            </w:r>
          </w:p>
        </w:tc>
        <w:tc>
          <w:tcPr>
            <w:tcW w:w="1575"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30</w:t>
            </w:r>
          </w:p>
        </w:tc>
        <w:tc>
          <w:tcPr>
            <w:tcW w:w="1590" w:type="dxa"/>
            <w:tcBorders>
              <w:top w:val="single" w:color="auto" w:sz="6"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p>
        </w:tc>
      </w:tr>
      <w:tr>
        <w:tblPrEx>
          <w:tblCellMar>
            <w:top w:w="0" w:type="dxa"/>
            <w:left w:w="0" w:type="dxa"/>
            <w:bottom w:w="0" w:type="dxa"/>
            <w:right w:w="0" w:type="dxa"/>
          </w:tblCellMar>
        </w:tblPrEx>
        <w:trPr>
          <w:trHeight w:val="417" w:hRule="atLeast"/>
          <w:jc w:val="center"/>
        </w:trPr>
        <w:tc>
          <w:tcPr>
            <w:tcW w:w="191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省部级</w:t>
            </w:r>
          </w:p>
        </w:tc>
        <w:tc>
          <w:tcPr>
            <w:tcW w:w="140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40</w:t>
            </w:r>
          </w:p>
        </w:tc>
        <w:tc>
          <w:tcPr>
            <w:tcW w:w="15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30</w:t>
            </w:r>
          </w:p>
        </w:tc>
        <w:tc>
          <w:tcPr>
            <w:tcW w:w="157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p>
        </w:tc>
        <w:tc>
          <w:tcPr>
            <w:tcW w:w="15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w:t>
            </w:r>
          </w:p>
        </w:tc>
      </w:tr>
      <w:tr>
        <w:tblPrEx>
          <w:tblCellMar>
            <w:top w:w="0" w:type="dxa"/>
            <w:left w:w="0" w:type="dxa"/>
            <w:bottom w:w="0" w:type="dxa"/>
            <w:right w:w="0" w:type="dxa"/>
          </w:tblCellMar>
        </w:tblPrEx>
        <w:trPr>
          <w:trHeight w:val="342" w:hRule="atLeast"/>
          <w:jc w:val="center"/>
        </w:trPr>
        <w:tc>
          <w:tcPr>
            <w:tcW w:w="191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校级</w:t>
            </w:r>
          </w:p>
        </w:tc>
        <w:tc>
          <w:tcPr>
            <w:tcW w:w="140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30</w:t>
            </w:r>
          </w:p>
        </w:tc>
        <w:tc>
          <w:tcPr>
            <w:tcW w:w="15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w:t>
            </w:r>
          </w:p>
        </w:tc>
        <w:tc>
          <w:tcPr>
            <w:tcW w:w="157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w:t>
            </w:r>
          </w:p>
        </w:tc>
        <w:tc>
          <w:tcPr>
            <w:tcW w:w="15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w:t>
            </w:r>
          </w:p>
        </w:tc>
      </w:tr>
      <w:tr>
        <w:tblPrEx>
          <w:tblCellMar>
            <w:top w:w="0" w:type="dxa"/>
            <w:left w:w="0" w:type="dxa"/>
            <w:bottom w:w="0" w:type="dxa"/>
            <w:right w:w="0" w:type="dxa"/>
          </w:tblCellMar>
        </w:tblPrEx>
        <w:trPr>
          <w:trHeight w:val="307" w:hRule="atLeast"/>
          <w:jc w:val="center"/>
        </w:trPr>
        <w:tc>
          <w:tcPr>
            <w:tcW w:w="191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院级</w:t>
            </w:r>
          </w:p>
        </w:tc>
        <w:tc>
          <w:tcPr>
            <w:tcW w:w="140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15</w:t>
            </w:r>
          </w:p>
        </w:tc>
        <w:tc>
          <w:tcPr>
            <w:tcW w:w="154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w:t>
            </w:r>
          </w:p>
        </w:tc>
        <w:tc>
          <w:tcPr>
            <w:tcW w:w="157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w:t>
            </w:r>
          </w:p>
        </w:tc>
        <w:tc>
          <w:tcPr>
            <w:tcW w:w="159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w:t>
            </w:r>
          </w:p>
        </w:tc>
      </w:tr>
    </w:tbl>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组织活动的级别按照承办单位级别鉴定，若组织校级及以上层面活动影响范围大，获得更高级别刊物报道，按相应更高级别奖项加分。</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同一活动获得多个奖项的，按最高奖项加分；不同活动奖项分数可累加。以团体获奖非</w:t>
      </w:r>
      <w:r>
        <w:rPr>
          <w:rFonts w:hint="eastAsia" w:ascii="仿宋" w:hAnsi="仿宋" w:eastAsia="仿宋" w:cs="仿宋"/>
          <w:sz w:val="32"/>
          <w:szCs w:val="32"/>
          <w:lang w:val="en-US" w:eastAsia="zh-CN"/>
        </w:rPr>
        <w:t>主要</w:t>
      </w:r>
      <w:r>
        <w:rPr>
          <w:rFonts w:hint="eastAsia" w:ascii="仿宋" w:hAnsi="仿宋" w:eastAsia="仿宋" w:cs="仿宋"/>
          <w:sz w:val="32"/>
          <w:szCs w:val="32"/>
        </w:rPr>
        <w:t>负责人须扣除5分。</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优秀研究生干部等以贵州大学名义颁发的奖项按校级一等奖加分；校级研究生组织</w:t>
      </w:r>
      <w:r>
        <w:rPr>
          <w:rFonts w:hint="eastAsia" w:ascii="仿宋" w:hAnsi="仿宋" w:eastAsia="仿宋" w:cs="仿宋"/>
          <w:sz w:val="32"/>
          <w:szCs w:val="32"/>
          <w:lang w:val="en-US" w:eastAsia="zh-CN"/>
        </w:rPr>
        <w:t>优秀党务工作者、</w:t>
      </w:r>
      <w:r>
        <w:rPr>
          <w:rFonts w:hint="eastAsia" w:ascii="仿宋" w:hAnsi="仿宋" w:eastAsia="仿宋" w:cs="仿宋"/>
          <w:sz w:val="32"/>
          <w:szCs w:val="32"/>
        </w:rPr>
        <w:t>先进个人、优秀共青团干部等由党委研究生工作部、共青团贵州大学委员会等校级职能部门颁发的奖项按校级二等奖加分；优秀工作者等以校级研究生组织颁发的奖项按照校级三等奖加分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院级优秀党务工作者、</w:t>
      </w:r>
      <w:r>
        <w:rPr>
          <w:rFonts w:hint="eastAsia" w:ascii="仿宋" w:hAnsi="仿宋" w:eastAsia="仿宋" w:cs="仿宋"/>
          <w:sz w:val="32"/>
          <w:szCs w:val="32"/>
        </w:rPr>
        <w:t>先进个人、优秀共青团干部</w:t>
      </w:r>
      <w:r>
        <w:rPr>
          <w:rFonts w:hint="eastAsia" w:ascii="仿宋" w:hAnsi="仿宋" w:eastAsia="仿宋" w:cs="仿宋"/>
          <w:sz w:val="32"/>
          <w:szCs w:val="32"/>
          <w:lang w:val="en-US" w:eastAsia="zh-CN"/>
        </w:rPr>
        <w:t>按院一等加分，</w:t>
      </w:r>
      <w:r>
        <w:rPr>
          <w:rFonts w:hint="eastAsia" w:ascii="仿宋" w:hAnsi="仿宋" w:eastAsia="仿宋" w:cs="仿宋"/>
          <w:sz w:val="32"/>
          <w:szCs w:val="32"/>
        </w:rPr>
        <w:t>优秀工作者</w:t>
      </w:r>
      <w:r>
        <w:rPr>
          <w:rFonts w:hint="eastAsia" w:ascii="仿宋" w:hAnsi="仿宋" w:eastAsia="仿宋" w:cs="仿宋"/>
          <w:sz w:val="32"/>
          <w:szCs w:val="32"/>
          <w:lang w:val="en-US" w:eastAsia="zh-CN"/>
        </w:rPr>
        <w:t>按院二等加分。</w:t>
      </w:r>
    </w:p>
    <w:p>
      <w:pPr>
        <w:spacing w:line="560" w:lineRule="exact"/>
        <w:ind w:firstLine="643" w:firstLineChars="200"/>
        <w:rPr>
          <w:rFonts w:hint="eastAsia" w:ascii="黑体" w:hAnsi="黑体" w:eastAsia="黑体" w:cs="仿宋"/>
          <w:b/>
          <w:bCs/>
          <w:sz w:val="32"/>
          <w:szCs w:val="32"/>
        </w:rPr>
      </w:pPr>
    </w:p>
    <w:p>
      <w:pPr>
        <w:spacing w:line="560" w:lineRule="exact"/>
        <w:ind w:firstLine="643" w:firstLineChars="200"/>
        <w:rPr>
          <w:rFonts w:hint="eastAsia" w:ascii="黑体" w:hAnsi="黑体" w:eastAsia="黑体" w:cs="仿宋"/>
          <w:b/>
          <w:bCs/>
          <w:sz w:val="32"/>
          <w:szCs w:val="32"/>
        </w:rPr>
      </w:pPr>
      <w:r>
        <w:rPr>
          <w:rFonts w:hint="eastAsia" w:ascii="黑体" w:hAnsi="黑体" w:eastAsia="黑体" w:cs="仿宋"/>
          <w:b/>
          <w:bCs/>
          <w:sz w:val="32"/>
          <w:szCs w:val="32"/>
        </w:rPr>
        <w:t>五、其它</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除上述条件以外的其他情况，经</w:t>
      </w:r>
      <w:r>
        <w:rPr>
          <w:rFonts w:hint="eastAsia" w:ascii="仿宋" w:hAnsi="仿宋" w:eastAsia="仿宋" w:cs="仿宋"/>
          <w:sz w:val="32"/>
          <w:szCs w:val="32"/>
          <w:lang w:val="en-US" w:eastAsia="zh-CN"/>
        </w:rPr>
        <w:t>学院党委会</w:t>
      </w:r>
      <w:r>
        <w:rPr>
          <w:rFonts w:hint="eastAsia" w:ascii="仿宋" w:hAnsi="仿宋" w:eastAsia="仿宋" w:cs="仿宋"/>
          <w:sz w:val="32"/>
          <w:szCs w:val="32"/>
        </w:rPr>
        <w:t>讨论决定。</w:t>
      </w:r>
      <w:bookmarkEnd w:id="0"/>
    </w:p>
    <w:p/>
    <w:sectPr>
      <w:pgSz w:w="11906" w:h="16838"/>
      <w:pgMar w:top="1440" w:right="1519" w:bottom="1440"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3D87C0"/>
    <w:multiLevelType w:val="singleLevel"/>
    <w:tmpl w:val="FA3D87C0"/>
    <w:lvl w:ilvl="0" w:tentative="0">
      <w:start w:val="2"/>
      <w:numFmt w:val="decimal"/>
      <w:lvlText w:val="%1."/>
      <w:lvlJc w:val="left"/>
      <w:pPr>
        <w:tabs>
          <w:tab w:val="left" w:pos="312"/>
        </w:tabs>
      </w:pPr>
    </w:lvl>
  </w:abstractNum>
  <w:abstractNum w:abstractNumId="1">
    <w:nsid w:val="00000002"/>
    <w:multiLevelType w:val="singleLevel"/>
    <w:tmpl w:val="00000002"/>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lM2VlYWRkZTUyYmUyYzUyOWZlNmMxNThhYWNkY2QifQ=="/>
  </w:docVars>
  <w:rsids>
    <w:rsidRoot w:val="26261DED"/>
    <w:rsid w:val="013C4854"/>
    <w:rsid w:val="09E1728F"/>
    <w:rsid w:val="0E1D0139"/>
    <w:rsid w:val="164E6412"/>
    <w:rsid w:val="26261DED"/>
    <w:rsid w:val="31C96083"/>
    <w:rsid w:val="32E725C8"/>
    <w:rsid w:val="356A61E3"/>
    <w:rsid w:val="3CC76A63"/>
    <w:rsid w:val="3E731599"/>
    <w:rsid w:val="463173BC"/>
    <w:rsid w:val="4EDC5297"/>
    <w:rsid w:val="516A38C5"/>
    <w:rsid w:val="5C494E12"/>
    <w:rsid w:val="5EF70510"/>
    <w:rsid w:val="71B339CF"/>
    <w:rsid w:val="777A7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spacing w:before="10"/>
      <w:ind w:left="140" w:firstLine="480"/>
    </w:pPr>
    <w:rPr>
      <w:rFonts w:ascii="仿宋" w:hAnsi="仿宋" w:eastAsia="仿宋"/>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2983</Words>
  <Characters>3177</Characters>
  <Lines>0</Lines>
  <Paragraphs>0</Paragraphs>
  <TotalTime>3</TotalTime>
  <ScaleCrop>false</ScaleCrop>
  <LinksUpToDate>false</LinksUpToDate>
  <CharactersWithSpaces>3224</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2022-10-27T07:48:00Z</dcterms:created>
  <dc:creator>test</dc:creator>
  <cp:lastModifiedBy>test</cp:lastModifiedBy>
  <dcterms:modified xsi:type="dcterms:W3CDTF">2022-11-14T08:15:05Z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6A1E1C4321D544599A8E76DC52C5063C</vt:lpwstr>
  </property>
</Properties>
</file>